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C21F7">
      <w:pPr>
        <w:jc w:val="center"/>
        <w:rPr>
          <w:rFonts w:hint="eastAsia" w:ascii="宋体" w:hAnsi="宋体" w:eastAsia="宋体" w:cs="宋体"/>
          <w:b/>
          <w:bCs/>
          <w:sz w:val="28"/>
          <w:szCs w:val="36"/>
          <w:lang w:val="en-US" w:eastAsia="zh-CN"/>
        </w:rPr>
      </w:pPr>
      <w:r>
        <w:rPr>
          <w:rFonts w:hint="eastAsia" w:ascii="宋体" w:hAnsi="宋体" w:eastAsia="宋体" w:cs="宋体"/>
          <w:b/>
          <w:bCs/>
          <w:sz w:val="28"/>
          <w:szCs w:val="36"/>
          <w:lang w:val="en-US" w:eastAsia="zh-CN"/>
        </w:rPr>
        <w:t>X射线安全检查设备技术参数</w:t>
      </w:r>
    </w:p>
    <w:tbl>
      <w:tblPr>
        <w:tblStyle w:val="7"/>
        <w:tblW w:w="889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8"/>
        <w:gridCol w:w="2425"/>
        <w:gridCol w:w="5464"/>
      </w:tblGrid>
      <w:tr w14:paraId="2E72D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vAlign w:val="center"/>
          </w:tcPr>
          <w:p w14:paraId="24304343">
            <w:pPr>
              <w:spacing w:line="36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序号</w:t>
            </w:r>
          </w:p>
        </w:tc>
        <w:tc>
          <w:tcPr>
            <w:tcW w:w="2425" w:type="dxa"/>
            <w:tcBorders>
              <w:tl2br w:val="nil"/>
              <w:tr2bl w:val="nil"/>
            </w:tcBorders>
            <w:vAlign w:val="center"/>
          </w:tcPr>
          <w:p w14:paraId="7AB23918">
            <w:pPr>
              <w:spacing w:line="36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项目</w:t>
            </w:r>
          </w:p>
        </w:tc>
        <w:tc>
          <w:tcPr>
            <w:tcW w:w="5464" w:type="dxa"/>
            <w:tcBorders>
              <w:tl2br w:val="nil"/>
              <w:tr2bl w:val="nil"/>
            </w:tcBorders>
          </w:tcPr>
          <w:p w14:paraId="7C5FB777">
            <w:pPr>
              <w:spacing w:line="360" w:lineRule="atLeast"/>
              <w:jc w:val="center"/>
              <w:rPr>
                <w:rFonts w:hint="eastAsia" w:ascii="宋体" w:hAnsi="宋体" w:eastAsia="宋体" w:cs="宋体"/>
                <w:b/>
                <w:bCs/>
                <w:color w:val="auto"/>
                <w:sz w:val="24"/>
                <w:szCs w:val="24"/>
              </w:rPr>
            </w:pPr>
            <w:r>
              <w:rPr>
                <w:rFonts w:hint="eastAsia" w:ascii="宋体" w:hAnsi="宋体" w:eastAsia="宋体" w:cs="宋体"/>
                <w:b/>
                <w:bCs/>
                <w:color w:val="auto"/>
                <w:sz w:val="24"/>
                <w:szCs w:val="24"/>
              </w:rPr>
              <w:t>技术要求</w:t>
            </w:r>
          </w:p>
        </w:tc>
      </w:tr>
      <w:tr w14:paraId="6328DC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vAlign w:val="center"/>
          </w:tcPr>
          <w:p w14:paraId="5399B6FF">
            <w:pPr>
              <w:spacing w:line="36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p>
        </w:tc>
        <w:tc>
          <w:tcPr>
            <w:tcW w:w="2425" w:type="dxa"/>
            <w:tcBorders>
              <w:tl2br w:val="nil"/>
              <w:tr2bl w:val="nil"/>
            </w:tcBorders>
            <w:vAlign w:val="center"/>
          </w:tcPr>
          <w:p w14:paraId="6EDB72D6">
            <w:pPr>
              <w:spacing w:line="360" w:lineRule="atLeast"/>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通道尺寸</w:t>
            </w:r>
          </w:p>
        </w:tc>
        <w:tc>
          <w:tcPr>
            <w:tcW w:w="5464" w:type="dxa"/>
            <w:tcBorders>
              <w:tl2br w:val="nil"/>
              <w:tr2bl w:val="nil"/>
            </w:tcBorders>
          </w:tcPr>
          <w:p w14:paraId="48A92DA9">
            <w:pPr>
              <w:spacing w:line="36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w:t>
            </w:r>
            <w:r>
              <w:rPr>
                <w:rFonts w:hint="eastAsia" w:ascii="宋体" w:hAnsi="宋体" w:cs="宋体"/>
                <w:bCs/>
                <w:color w:val="auto"/>
                <w:sz w:val="24"/>
                <w:szCs w:val="24"/>
                <w:lang w:val="en-US" w:eastAsia="zh-CN"/>
              </w:rPr>
              <w:t>50</w:t>
            </w:r>
            <w:r>
              <w:rPr>
                <w:rFonts w:hint="eastAsia" w:ascii="宋体" w:hAnsi="宋体" w:eastAsia="宋体" w:cs="宋体"/>
                <w:bCs/>
                <w:color w:val="auto"/>
                <w:sz w:val="24"/>
                <w:szCs w:val="24"/>
              </w:rPr>
              <w:t>0×</w:t>
            </w:r>
            <w:r>
              <w:rPr>
                <w:rFonts w:hint="eastAsia" w:ascii="宋体" w:hAnsi="宋体" w:cs="宋体"/>
                <w:bCs/>
                <w:color w:val="auto"/>
                <w:sz w:val="24"/>
                <w:szCs w:val="24"/>
                <w:lang w:val="en-US" w:eastAsia="zh-CN"/>
              </w:rPr>
              <w:t>3</w:t>
            </w:r>
            <w:r>
              <w:rPr>
                <w:rFonts w:hint="eastAsia" w:ascii="宋体" w:hAnsi="宋体" w:eastAsia="宋体" w:cs="宋体"/>
                <w:bCs/>
                <w:color w:val="auto"/>
                <w:sz w:val="24"/>
                <w:szCs w:val="24"/>
              </w:rPr>
              <w:t>00㎜（W×H）</w:t>
            </w:r>
          </w:p>
        </w:tc>
      </w:tr>
      <w:tr w14:paraId="5B4E2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vAlign w:val="center"/>
          </w:tcPr>
          <w:p w14:paraId="571437A0">
            <w:pPr>
              <w:spacing w:line="36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2</w:t>
            </w:r>
          </w:p>
        </w:tc>
        <w:tc>
          <w:tcPr>
            <w:tcW w:w="2425" w:type="dxa"/>
            <w:tcBorders>
              <w:tl2br w:val="nil"/>
              <w:tr2bl w:val="nil"/>
            </w:tcBorders>
            <w:vAlign w:val="center"/>
          </w:tcPr>
          <w:p w14:paraId="40EC4CED">
            <w:pPr>
              <w:spacing w:line="360" w:lineRule="atLeast"/>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符合标准</w:t>
            </w:r>
          </w:p>
        </w:tc>
        <w:tc>
          <w:tcPr>
            <w:tcW w:w="5464" w:type="dxa"/>
            <w:tcBorders>
              <w:tl2br w:val="nil"/>
              <w:tr2bl w:val="nil"/>
            </w:tcBorders>
            <w:vAlign w:val="center"/>
          </w:tcPr>
          <w:p w14:paraId="36D97F11">
            <w:pPr>
              <w:rPr>
                <w:rFonts w:hint="eastAsia" w:ascii="宋体" w:hAnsi="宋体" w:eastAsia="宋体" w:cs="宋体"/>
                <w:color w:val="000000"/>
                <w:spacing w:val="-2"/>
                <w:sz w:val="24"/>
                <w:szCs w:val="24"/>
                <w:lang w:val="en-US"/>
              </w:rPr>
            </w:pPr>
            <w:r>
              <w:rPr>
                <w:rFonts w:hint="eastAsia" w:ascii="宋体" w:hAnsi="宋体" w:eastAsia="宋体" w:cs="宋体"/>
                <w:color w:val="000000"/>
                <w:spacing w:val="-2"/>
                <w:sz w:val="24"/>
                <w:szCs w:val="24"/>
              </w:rPr>
              <w:t>1、</w:t>
            </w:r>
            <w:r>
              <w:rPr>
                <w:rFonts w:hint="eastAsia" w:ascii="宋体" w:hAnsi="宋体" w:cs="宋体"/>
                <w:color w:val="000000"/>
                <w:spacing w:val="-2"/>
                <w:sz w:val="24"/>
                <w:szCs w:val="24"/>
                <w:lang w:val="en-US" w:eastAsia="zh-CN"/>
              </w:rPr>
              <w:t>应</w:t>
            </w:r>
            <w:r>
              <w:rPr>
                <w:rFonts w:hint="eastAsia" w:ascii="宋体" w:hAnsi="宋体" w:eastAsia="宋体" w:cs="宋体"/>
                <w:color w:val="000000"/>
                <w:spacing w:val="-2"/>
                <w:sz w:val="24"/>
                <w:szCs w:val="24"/>
                <w:lang w:val="en-US" w:eastAsia="zh-CN"/>
              </w:rPr>
              <w:t>符合“</w:t>
            </w:r>
            <w:r>
              <w:rPr>
                <w:rFonts w:hint="eastAsia" w:ascii="宋体" w:hAnsi="宋体" w:eastAsia="宋体" w:cs="宋体"/>
                <w:color w:val="000000"/>
                <w:spacing w:val="-2"/>
                <w:sz w:val="24"/>
                <w:szCs w:val="24"/>
              </w:rPr>
              <w:t>GB 15208.1-2018 微剂量X射线安全检查设备 第1部分：通用技术要求</w:t>
            </w:r>
            <w:r>
              <w:rPr>
                <w:rFonts w:hint="eastAsia" w:ascii="宋体" w:hAnsi="宋体" w:eastAsia="宋体" w:cs="宋体"/>
                <w:color w:val="000000"/>
                <w:spacing w:val="-2"/>
                <w:sz w:val="24"/>
                <w:szCs w:val="24"/>
                <w:lang w:val="en-US" w:eastAsia="zh-CN"/>
              </w:rPr>
              <w:t>”的相关要求；</w:t>
            </w:r>
          </w:p>
          <w:p w14:paraId="313D91AA">
            <w:pPr>
              <w:rPr>
                <w:rFonts w:hint="eastAsia" w:ascii="宋体" w:hAnsi="宋体" w:eastAsia="宋体" w:cs="宋体"/>
                <w:bCs/>
                <w:color w:val="auto"/>
                <w:sz w:val="24"/>
                <w:szCs w:val="24"/>
                <w:lang w:val="en-US" w:eastAsia="zh-CN"/>
              </w:rPr>
            </w:pPr>
            <w:r>
              <w:rPr>
                <w:rFonts w:hint="eastAsia" w:ascii="宋体" w:hAnsi="宋体" w:eastAsia="宋体" w:cs="宋体"/>
                <w:color w:val="000000"/>
                <w:spacing w:val="-2"/>
                <w:sz w:val="24"/>
                <w:szCs w:val="24"/>
              </w:rPr>
              <w:t>2、</w:t>
            </w:r>
            <w:r>
              <w:rPr>
                <w:rFonts w:hint="eastAsia" w:ascii="宋体" w:hAnsi="宋体" w:cs="宋体"/>
                <w:color w:val="000000"/>
                <w:spacing w:val="-2"/>
                <w:sz w:val="24"/>
                <w:szCs w:val="24"/>
                <w:lang w:val="en-US" w:eastAsia="zh-CN"/>
              </w:rPr>
              <w:t>应</w:t>
            </w:r>
            <w:r>
              <w:rPr>
                <w:rFonts w:hint="eastAsia" w:ascii="宋体" w:hAnsi="宋体" w:eastAsia="宋体" w:cs="宋体"/>
                <w:color w:val="000000"/>
                <w:spacing w:val="-2"/>
                <w:sz w:val="24"/>
                <w:szCs w:val="24"/>
                <w:lang w:val="en-US" w:eastAsia="zh-CN"/>
              </w:rPr>
              <w:t>符合“</w:t>
            </w:r>
            <w:r>
              <w:rPr>
                <w:rFonts w:hint="eastAsia" w:ascii="宋体" w:hAnsi="宋体" w:eastAsia="宋体" w:cs="宋体"/>
                <w:color w:val="000000"/>
                <w:spacing w:val="-2"/>
                <w:sz w:val="24"/>
                <w:szCs w:val="24"/>
              </w:rPr>
              <w:t>GB 15208.2-2018 微剂量X射线安全检查设备 第2部分：透射式行包安全检查设备</w:t>
            </w:r>
            <w:r>
              <w:rPr>
                <w:rFonts w:hint="eastAsia" w:ascii="宋体" w:hAnsi="宋体" w:eastAsia="宋体" w:cs="宋体"/>
                <w:color w:val="000000"/>
                <w:spacing w:val="-2"/>
                <w:sz w:val="24"/>
                <w:szCs w:val="24"/>
                <w:lang w:val="en-US" w:eastAsia="zh-CN"/>
              </w:rPr>
              <w:t>”的相关要求。</w:t>
            </w:r>
          </w:p>
        </w:tc>
      </w:tr>
      <w:tr w14:paraId="71CDF8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vAlign w:val="center"/>
          </w:tcPr>
          <w:p w14:paraId="3F9A2362">
            <w:pPr>
              <w:spacing w:line="36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3</w:t>
            </w:r>
          </w:p>
        </w:tc>
        <w:tc>
          <w:tcPr>
            <w:tcW w:w="2425" w:type="dxa"/>
            <w:tcBorders>
              <w:tl2br w:val="nil"/>
              <w:tr2bl w:val="nil"/>
            </w:tcBorders>
            <w:vAlign w:val="center"/>
          </w:tcPr>
          <w:p w14:paraId="1C6A9F64">
            <w:pPr>
              <w:spacing w:line="360" w:lineRule="atLeast"/>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线分辨力</w:t>
            </w:r>
          </w:p>
        </w:tc>
        <w:tc>
          <w:tcPr>
            <w:tcW w:w="5464" w:type="dxa"/>
            <w:tcBorders>
              <w:tl2br w:val="nil"/>
              <w:tr2bl w:val="nil"/>
            </w:tcBorders>
          </w:tcPr>
          <w:p w14:paraId="0BFA9437">
            <w:pPr>
              <w:spacing w:line="36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在0.2m/s下：</w:t>
            </w:r>
            <w:r>
              <w:rPr>
                <w:rFonts w:hint="eastAsia" w:ascii="宋体" w:hAnsi="宋体" w:eastAsia="宋体" w:cs="宋体"/>
                <w:bCs/>
                <w:color w:val="auto"/>
                <w:sz w:val="24"/>
                <w:szCs w:val="24"/>
              </w:rPr>
              <w:t>≤φ0.0787㎜</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AWG40</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w:t>
            </w:r>
          </w:p>
        </w:tc>
      </w:tr>
      <w:tr w14:paraId="7E1D9D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vAlign w:val="center"/>
          </w:tcPr>
          <w:p w14:paraId="461DCBB8">
            <w:pPr>
              <w:spacing w:line="36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4</w:t>
            </w:r>
          </w:p>
        </w:tc>
        <w:tc>
          <w:tcPr>
            <w:tcW w:w="2425" w:type="dxa"/>
            <w:tcBorders>
              <w:tl2br w:val="nil"/>
              <w:tr2bl w:val="nil"/>
            </w:tcBorders>
            <w:vAlign w:val="center"/>
          </w:tcPr>
          <w:p w14:paraId="46C77E0C">
            <w:pPr>
              <w:spacing w:line="360" w:lineRule="atLeast"/>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穿透分辨力</w:t>
            </w:r>
          </w:p>
        </w:tc>
        <w:tc>
          <w:tcPr>
            <w:tcW w:w="5464" w:type="dxa"/>
            <w:tcBorders>
              <w:tl2br w:val="nil"/>
              <w:tr2bl w:val="nil"/>
            </w:tcBorders>
          </w:tcPr>
          <w:p w14:paraId="3292DF65">
            <w:pPr>
              <w:spacing w:line="36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在0.2m/s下：</w:t>
            </w:r>
            <w:r>
              <w:rPr>
                <w:rFonts w:hint="eastAsia" w:ascii="宋体" w:hAnsi="宋体" w:eastAsia="宋体" w:cs="宋体"/>
                <w:bCs/>
                <w:color w:val="auto"/>
                <w:sz w:val="24"/>
                <w:szCs w:val="24"/>
              </w:rPr>
              <w:t>≤φ0.</w:t>
            </w:r>
            <w:r>
              <w:rPr>
                <w:rFonts w:hint="eastAsia" w:ascii="宋体" w:hAnsi="宋体" w:cs="宋体"/>
                <w:bCs/>
                <w:color w:val="auto"/>
                <w:sz w:val="24"/>
                <w:szCs w:val="24"/>
                <w:lang w:val="en-US" w:eastAsia="zh-CN"/>
              </w:rPr>
              <w:t>203</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AWG3</w:t>
            </w: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rPr>
              <w:t>；</w:t>
            </w:r>
          </w:p>
        </w:tc>
      </w:tr>
      <w:tr w14:paraId="7A79F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vAlign w:val="center"/>
          </w:tcPr>
          <w:p w14:paraId="4DEDCE54">
            <w:pPr>
              <w:spacing w:line="36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5</w:t>
            </w:r>
          </w:p>
        </w:tc>
        <w:tc>
          <w:tcPr>
            <w:tcW w:w="2425" w:type="dxa"/>
            <w:tcBorders>
              <w:tl2br w:val="nil"/>
              <w:tr2bl w:val="nil"/>
            </w:tcBorders>
            <w:vAlign w:val="center"/>
          </w:tcPr>
          <w:p w14:paraId="5B137BB3">
            <w:pPr>
              <w:spacing w:line="360" w:lineRule="atLeast"/>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★空间分辨力</w:t>
            </w:r>
          </w:p>
        </w:tc>
        <w:tc>
          <w:tcPr>
            <w:tcW w:w="5464" w:type="dxa"/>
            <w:tcBorders>
              <w:tl2br w:val="nil"/>
              <w:tr2bl w:val="nil"/>
            </w:tcBorders>
          </w:tcPr>
          <w:p w14:paraId="22079B13">
            <w:pPr>
              <w:spacing w:line="360" w:lineRule="atLeas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在0.2m/s下：</w:t>
            </w: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0.8</w:t>
            </w:r>
            <w:r>
              <w:rPr>
                <w:rFonts w:hint="eastAsia" w:ascii="宋体" w:hAnsi="宋体" w:eastAsia="宋体" w:cs="宋体"/>
                <w:bCs/>
                <w:color w:val="auto"/>
                <w:sz w:val="24"/>
                <w:szCs w:val="24"/>
              </w:rPr>
              <w:t>mm</w:t>
            </w:r>
            <w:r>
              <w:rPr>
                <w:rFonts w:hint="eastAsia" w:ascii="宋体" w:hAnsi="宋体" w:eastAsia="宋体" w:cs="宋体"/>
                <w:bCs/>
                <w:color w:val="auto"/>
                <w:sz w:val="24"/>
                <w:szCs w:val="24"/>
                <w:lang w:eastAsia="zh-CN"/>
              </w:rPr>
              <w:t>；</w:t>
            </w:r>
          </w:p>
        </w:tc>
      </w:tr>
      <w:tr w14:paraId="5427F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vAlign w:val="center"/>
          </w:tcPr>
          <w:p w14:paraId="5236AB05">
            <w:pPr>
              <w:spacing w:line="36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6</w:t>
            </w:r>
          </w:p>
        </w:tc>
        <w:tc>
          <w:tcPr>
            <w:tcW w:w="2425" w:type="dxa"/>
            <w:tcBorders>
              <w:tl2br w:val="nil"/>
              <w:tr2bl w:val="nil"/>
            </w:tcBorders>
            <w:vAlign w:val="center"/>
          </w:tcPr>
          <w:p w14:paraId="111D7C43">
            <w:pPr>
              <w:spacing w:line="360" w:lineRule="atLeast"/>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★穿透力</w:t>
            </w:r>
          </w:p>
        </w:tc>
        <w:tc>
          <w:tcPr>
            <w:tcW w:w="5464" w:type="dxa"/>
            <w:tcBorders>
              <w:tl2br w:val="nil"/>
              <w:tr2bl w:val="nil"/>
            </w:tcBorders>
          </w:tcPr>
          <w:p w14:paraId="1ABCFF93">
            <w:pPr>
              <w:spacing w:line="360" w:lineRule="atLeas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在0.2m/s下：SP＞</w:t>
            </w:r>
            <w:r>
              <w:rPr>
                <w:rFonts w:hint="eastAsia" w:ascii="宋体" w:hAnsi="宋体" w:cs="宋体"/>
                <w:bCs/>
                <w:color w:val="auto"/>
                <w:sz w:val="24"/>
                <w:szCs w:val="24"/>
                <w:lang w:val="en-US" w:eastAsia="zh-CN"/>
              </w:rPr>
              <w:t>40</w:t>
            </w:r>
            <w:r>
              <w:rPr>
                <w:rFonts w:hint="eastAsia" w:ascii="宋体" w:hAnsi="宋体" w:eastAsia="宋体" w:cs="宋体"/>
                <w:bCs/>
                <w:color w:val="auto"/>
                <w:sz w:val="24"/>
                <w:szCs w:val="24"/>
              </w:rPr>
              <w:t>㎜钢板；</w:t>
            </w:r>
          </w:p>
        </w:tc>
      </w:tr>
      <w:tr w14:paraId="5403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trPr>
        <w:tc>
          <w:tcPr>
            <w:tcW w:w="1008" w:type="dxa"/>
            <w:tcBorders>
              <w:tl2br w:val="nil"/>
              <w:tr2bl w:val="nil"/>
            </w:tcBorders>
            <w:vAlign w:val="center"/>
          </w:tcPr>
          <w:p w14:paraId="167BCEA5">
            <w:pPr>
              <w:spacing w:line="36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7</w:t>
            </w:r>
          </w:p>
        </w:tc>
        <w:tc>
          <w:tcPr>
            <w:tcW w:w="2425" w:type="dxa"/>
            <w:tcBorders>
              <w:tl2br w:val="nil"/>
              <w:tr2bl w:val="nil"/>
            </w:tcBorders>
            <w:vAlign w:val="center"/>
          </w:tcPr>
          <w:p w14:paraId="2F0D6369">
            <w:pPr>
              <w:spacing w:line="36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材料分辨</w:t>
            </w:r>
          </w:p>
        </w:tc>
        <w:tc>
          <w:tcPr>
            <w:tcW w:w="5464" w:type="dxa"/>
            <w:tcBorders>
              <w:tl2br w:val="nil"/>
              <w:tr2bl w:val="nil"/>
            </w:tcBorders>
            <w:vAlign w:val="top"/>
          </w:tcPr>
          <w:p w14:paraId="46C62F5A">
            <w:pPr>
              <w:spacing w:line="36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设备应能分辨具有不同等效原子序数的三种材料样本，并赋予PVC板绿色，赋予模拟物板和尼龙板橙色。</w:t>
            </w:r>
          </w:p>
        </w:tc>
      </w:tr>
      <w:tr w14:paraId="3C171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vAlign w:val="center"/>
          </w:tcPr>
          <w:p w14:paraId="628494B6">
            <w:pPr>
              <w:spacing w:line="36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8</w:t>
            </w:r>
          </w:p>
        </w:tc>
        <w:tc>
          <w:tcPr>
            <w:tcW w:w="2425" w:type="dxa"/>
            <w:tcBorders>
              <w:tl2br w:val="nil"/>
              <w:tr2bl w:val="nil"/>
            </w:tcBorders>
            <w:vAlign w:val="center"/>
          </w:tcPr>
          <w:p w14:paraId="34372F68">
            <w:pPr>
              <w:spacing w:line="360" w:lineRule="atLeast"/>
              <w:rPr>
                <w:rFonts w:hint="eastAsia" w:ascii="宋体" w:hAnsi="宋体" w:eastAsia="宋体" w:cs="宋体"/>
                <w:bCs/>
                <w:color w:val="auto"/>
                <w:sz w:val="24"/>
                <w:szCs w:val="24"/>
              </w:rPr>
            </w:pP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传</w:t>
            </w:r>
            <w:r>
              <w:rPr>
                <w:rFonts w:hint="eastAsia" w:ascii="宋体" w:hAnsi="宋体" w:eastAsia="宋体" w:cs="宋体"/>
                <w:bCs/>
                <w:color w:val="auto"/>
                <w:sz w:val="24"/>
                <w:szCs w:val="24"/>
              </w:rPr>
              <w:t>送装置</w:t>
            </w:r>
          </w:p>
        </w:tc>
        <w:tc>
          <w:tcPr>
            <w:tcW w:w="5464" w:type="dxa"/>
            <w:tcBorders>
              <w:tl2br w:val="nil"/>
              <w:tr2bl w:val="nil"/>
            </w:tcBorders>
            <w:vAlign w:val="top"/>
          </w:tcPr>
          <w:p w14:paraId="55C0C05F">
            <w:pPr>
              <w:spacing w:line="360" w:lineRule="atLeast"/>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（1）设备检查状态下的输送速度应大于等于0.2m/s；</w:t>
            </w:r>
          </w:p>
          <w:p w14:paraId="07F47680">
            <w:pPr>
              <w:spacing w:line="360" w:lineRule="atLeast"/>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（2）设备输送带正反向运转不应跑偏。正向连续运转10min内，横向位移小于等于</w:t>
            </w:r>
            <w:r>
              <w:rPr>
                <w:rFonts w:hint="eastAsia" w:ascii="宋体" w:hAnsi="宋体" w:cs="宋体"/>
                <w:bCs/>
                <w:color w:val="auto"/>
                <w:sz w:val="24"/>
                <w:szCs w:val="24"/>
                <w:lang w:val="en-US" w:eastAsia="zh-CN"/>
              </w:rPr>
              <w:t>2</w:t>
            </w:r>
            <w:r>
              <w:rPr>
                <w:rFonts w:hint="eastAsia" w:ascii="宋体" w:hAnsi="宋体" w:eastAsia="宋体" w:cs="宋体"/>
                <w:bCs/>
                <w:color w:val="auto"/>
                <w:sz w:val="24"/>
                <w:szCs w:val="24"/>
              </w:rPr>
              <w:t>.0mm；</w:t>
            </w:r>
          </w:p>
          <w:p w14:paraId="35A07ED9">
            <w:pPr>
              <w:spacing w:line="360" w:lineRule="atLeast"/>
              <w:jc w:val="left"/>
              <w:rPr>
                <w:rFonts w:hint="eastAsia" w:ascii="宋体" w:hAnsi="宋体" w:eastAsia="宋体" w:cs="宋体"/>
                <w:sz w:val="24"/>
                <w:szCs w:val="24"/>
                <w:lang w:eastAsia="zh-CN"/>
              </w:rPr>
            </w:pPr>
            <w:r>
              <w:rPr>
                <w:rFonts w:hint="eastAsia" w:ascii="宋体" w:hAnsi="宋体" w:eastAsia="宋体" w:cs="宋体"/>
                <w:bCs/>
                <w:color w:val="auto"/>
                <w:sz w:val="24"/>
                <w:szCs w:val="24"/>
              </w:rPr>
              <w:t>（3）设备反向连续运转30s内，横向位移小于等于</w:t>
            </w:r>
            <w:r>
              <w:rPr>
                <w:rFonts w:hint="eastAsia" w:ascii="宋体" w:hAnsi="宋体" w:cs="宋体"/>
                <w:bCs/>
                <w:color w:val="auto"/>
                <w:sz w:val="24"/>
                <w:szCs w:val="24"/>
                <w:lang w:val="en-US" w:eastAsia="zh-CN"/>
              </w:rPr>
              <w:t>1</w:t>
            </w:r>
            <w:r>
              <w:rPr>
                <w:rFonts w:hint="eastAsia" w:ascii="宋体" w:hAnsi="宋体" w:eastAsia="宋体" w:cs="宋体"/>
                <w:bCs/>
                <w:color w:val="auto"/>
                <w:sz w:val="24"/>
                <w:szCs w:val="24"/>
              </w:rPr>
              <w:t>.0mm。</w:t>
            </w:r>
          </w:p>
        </w:tc>
      </w:tr>
      <w:tr w14:paraId="1ADBB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vAlign w:val="center"/>
          </w:tcPr>
          <w:p w14:paraId="0CCF9DEC">
            <w:pPr>
              <w:spacing w:line="36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9</w:t>
            </w:r>
          </w:p>
        </w:tc>
        <w:tc>
          <w:tcPr>
            <w:tcW w:w="2425" w:type="dxa"/>
            <w:tcBorders>
              <w:tl2br w:val="nil"/>
              <w:tr2bl w:val="nil"/>
            </w:tcBorders>
            <w:vAlign w:val="center"/>
          </w:tcPr>
          <w:p w14:paraId="72BF5C10">
            <w:pPr>
              <w:spacing w:line="360" w:lineRule="atLeast"/>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★单次检查剂量</w:t>
            </w:r>
          </w:p>
        </w:tc>
        <w:tc>
          <w:tcPr>
            <w:tcW w:w="5464" w:type="dxa"/>
            <w:tcBorders>
              <w:tl2br w:val="nil"/>
              <w:tr2bl w:val="nil"/>
            </w:tcBorders>
            <w:vAlign w:val="top"/>
          </w:tcPr>
          <w:p w14:paraId="24CAD513">
            <w:pPr>
              <w:spacing w:line="360" w:lineRule="atLeast"/>
              <w:jc w:val="left"/>
              <w:rPr>
                <w:rFonts w:hint="eastAsia" w:ascii="宋体" w:hAnsi="宋体" w:eastAsia="宋体" w:cs="宋体"/>
                <w:bCs/>
                <w:color w:val="auto"/>
                <w:sz w:val="24"/>
                <w:szCs w:val="24"/>
              </w:rPr>
            </w:pPr>
            <w:r>
              <w:rPr>
                <w:rFonts w:hint="eastAsia" w:ascii="宋体" w:hAnsi="宋体" w:eastAsia="宋体" w:cs="宋体"/>
                <w:bCs/>
                <w:color w:val="auto"/>
                <w:sz w:val="24"/>
                <w:szCs w:val="24"/>
                <w:lang w:val="en-US" w:eastAsia="zh-CN"/>
              </w:rPr>
              <w:t>单个X射线产生装置在0.2m/s下：</w:t>
            </w:r>
            <w:r>
              <w:rPr>
                <w:rFonts w:hint="eastAsia" w:ascii="宋体" w:hAnsi="宋体" w:eastAsia="宋体" w:cs="宋体"/>
                <w:bCs/>
                <w:color w:val="auto"/>
                <w:sz w:val="24"/>
                <w:szCs w:val="24"/>
              </w:rPr>
              <w:t>应＜</w:t>
            </w:r>
            <w:r>
              <w:rPr>
                <w:rFonts w:hint="eastAsia" w:ascii="宋体" w:hAnsi="宋体" w:cs="宋体"/>
                <w:bCs/>
                <w:color w:val="auto"/>
                <w:sz w:val="24"/>
                <w:szCs w:val="24"/>
                <w:lang w:val="en-US" w:eastAsia="zh-CN"/>
              </w:rPr>
              <w:t>1.7</w:t>
            </w:r>
            <w:r>
              <w:rPr>
                <w:rFonts w:hint="eastAsia" w:ascii="宋体" w:hAnsi="宋体" w:eastAsia="宋体" w:cs="宋体"/>
                <w:bCs/>
                <w:color w:val="auto"/>
                <w:sz w:val="24"/>
                <w:szCs w:val="24"/>
              </w:rPr>
              <w:t>μGy</w:t>
            </w:r>
          </w:p>
        </w:tc>
      </w:tr>
      <w:tr w14:paraId="37DE3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vAlign w:val="center"/>
          </w:tcPr>
          <w:p w14:paraId="50ECE258">
            <w:pPr>
              <w:spacing w:line="36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10</w:t>
            </w:r>
          </w:p>
        </w:tc>
        <w:tc>
          <w:tcPr>
            <w:tcW w:w="2425" w:type="dxa"/>
            <w:tcBorders>
              <w:tl2br w:val="nil"/>
              <w:tr2bl w:val="nil"/>
            </w:tcBorders>
            <w:vAlign w:val="center"/>
          </w:tcPr>
          <w:p w14:paraId="7C8EE27A">
            <w:pPr>
              <w:spacing w:line="360" w:lineRule="atLeast"/>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w:t>
            </w:r>
            <w:r>
              <w:rPr>
                <w:rFonts w:hint="eastAsia" w:ascii="宋体" w:hAnsi="宋体" w:eastAsia="宋体" w:cs="宋体"/>
                <w:bCs/>
                <w:color w:val="auto"/>
                <w:sz w:val="24"/>
                <w:szCs w:val="24"/>
                <w:lang w:val="en-US" w:eastAsia="zh-CN"/>
              </w:rPr>
              <w:t>周围</w:t>
            </w:r>
            <w:r>
              <w:rPr>
                <w:rFonts w:hint="eastAsia" w:ascii="宋体" w:hAnsi="宋体" w:eastAsia="宋体" w:cs="宋体"/>
                <w:bCs/>
                <w:color w:val="auto"/>
                <w:sz w:val="24"/>
                <w:szCs w:val="24"/>
              </w:rPr>
              <w:t>剂量</w:t>
            </w:r>
            <w:r>
              <w:rPr>
                <w:rFonts w:hint="eastAsia" w:ascii="宋体" w:hAnsi="宋体" w:eastAsia="宋体" w:cs="宋体"/>
                <w:bCs/>
                <w:color w:val="auto"/>
                <w:sz w:val="24"/>
                <w:szCs w:val="24"/>
                <w:lang w:val="en-US" w:eastAsia="zh-CN"/>
              </w:rPr>
              <w:t>当量</w:t>
            </w:r>
            <w:r>
              <w:rPr>
                <w:rFonts w:hint="eastAsia" w:ascii="宋体" w:hAnsi="宋体" w:eastAsia="宋体" w:cs="宋体"/>
                <w:bCs/>
                <w:color w:val="auto"/>
                <w:sz w:val="24"/>
                <w:szCs w:val="24"/>
              </w:rPr>
              <w:t>率</w:t>
            </w:r>
          </w:p>
        </w:tc>
        <w:tc>
          <w:tcPr>
            <w:tcW w:w="5464" w:type="dxa"/>
            <w:tcBorders>
              <w:tl2br w:val="nil"/>
              <w:tr2bl w:val="nil"/>
            </w:tcBorders>
            <w:vAlign w:val="top"/>
          </w:tcPr>
          <w:p w14:paraId="3351ECA4">
            <w:pPr>
              <w:spacing w:line="360" w:lineRule="atLeast"/>
              <w:jc w:val="left"/>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w:t>
            </w:r>
            <w:r>
              <w:rPr>
                <w:rFonts w:hint="eastAsia" w:ascii="宋体" w:hAnsi="宋体" w:eastAsia="宋体" w:cs="宋体"/>
                <w:sz w:val="24"/>
                <w:szCs w:val="24"/>
              </w:rPr>
              <w:t>设备正常工作时，封闭式设备在距设备的任何可达表面0.1m处（包括设备的入口、出口处）周围剂量当量率</w:t>
            </w:r>
            <w:r>
              <w:rPr>
                <w:rFonts w:hint="eastAsia" w:ascii="宋体" w:hAnsi="宋体" w:eastAsia="宋体" w:cs="宋体"/>
                <w:sz w:val="24"/>
                <w:szCs w:val="24"/>
                <w:lang w:val="en-US" w:eastAsia="zh-CN"/>
              </w:rPr>
              <w:t>在0</w:t>
            </w:r>
            <w:r>
              <w:rPr>
                <w:rFonts w:hint="eastAsia" w:ascii="宋体" w:hAnsi="宋体" w:eastAsia="宋体" w:cs="宋体"/>
                <w:sz w:val="24"/>
                <w:szCs w:val="24"/>
              </w:rPr>
              <w:t>.2m/s</w:t>
            </w:r>
            <w:r>
              <w:rPr>
                <w:rFonts w:hint="eastAsia" w:ascii="宋体" w:hAnsi="宋体" w:eastAsia="宋体" w:cs="宋体"/>
                <w:sz w:val="24"/>
                <w:szCs w:val="24"/>
                <w:lang w:val="en-US" w:eastAsia="zh-CN"/>
              </w:rPr>
              <w:t>下</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应</w:t>
            </w:r>
            <w:r>
              <w:rPr>
                <w:rFonts w:hint="eastAsia" w:ascii="宋体" w:hAnsi="宋体" w:eastAsia="宋体" w:cs="宋体"/>
                <w:sz w:val="24"/>
                <w:szCs w:val="24"/>
              </w:rPr>
              <w:t>＜0.0</w:t>
            </w:r>
            <w:r>
              <w:rPr>
                <w:rFonts w:hint="eastAsia" w:ascii="宋体" w:hAnsi="宋体" w:cs="宋体"/>
                <w:sz w:val="24"/>
                <w:szCs w:val="24"/>
                <w:lang w:val="en-US" w:eastAsia="zh-CN"/>
              </w:rPr>
              <w:t>2</w:t>
            </w:r>
            <w:r>
              <w:rPr>
                <w:rFonts w:hint="eastAsia" w:ascii="宋体" w:hAnsi="宋体" w:eastAsia="宋体" w:cs="宋体"/>
                <w:sz w:val="24"/>
                <w:szCs w:val="24"/>
              </w:rPr>
              <w:t>μSv/h</w:t>
            </w:r>
            <w:r>
              <w:rPr>
                <w:rFonts w:hint="eastAsia" w:ascii="宋体" w:hAnsi="宋体" w:eastAsia="宋体" w:cs="宋体"/>
                <w:sz w:val="24"/>
                <w:szCs w:val="24"/>
                <w:lang w:eastAsia="zh-CN"/>
              </w:rPr>
              <w:t>；</w:t>
            </w:r>
          </w:p>
          <w:p w14:paraId="562567F6">
            <w:pPr>
              <w:pStyle w:val="2"/>
              <w:jc w:val="left"/>
              <w:rPr>
                <w:rFonts w:hint="eastAsia" w:ascii="宋体" w:hAnsi="宋体" w:eastAsia="宋体" w:cs="宋体"/>
                <w:bCs/>
                <w:color w:val="auto"/>
                <w:sz w:val="24"/>
                <w:szCs w:val="24"/>
              </w:rPr>
            </w:pP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工</w:t>
            </w:r>
            <w:r>
              <w:rPr>
                <w:rFonts w:hint="eastAsia" w:ascii="宋体" w:hAnsi="宋体" w:eastAsia="宋体" w:cs="宋体"/>
                <w:bCs/>
                <w:color w:val="auto"/>
                <w:sz w:val="24"/>
                <w:szCs w:val="24"/>
                <w:lang w:eastAsia="zh-CN"/>
              </w:rPr>
              <w:t>作人员位置的周围剂量当量率</w:t>
            </w:r>
            <w:r>
              <w:rPr>
                <w:rFonts w:hint="eastAsia" w:ascii="宋体" w:hAnsi="宋体" w:eastAsia="宋体" w:cs="宋体"/>
                <w:sz w:val="24"/>
                <w:szCs w:val="24"/>
                <w:lang w:val="en-US" w:eastAsia="zh-CN"/>
              </w:rPr>
              <w:t>在0</w:t>
            </w:r>
            <w:r>
              <w:rPr>
                <w:rFonts w:hint="eastAsia" w:ascii="宋体" w:hAnsi="宋体" w:eastAsia="宋体" w:cs="宋体"/>
                <w:sz w:val="24"/>
                <w:szCs w:val="24"/>
              </w:rPr>
              <w:t>.2m/s</w:t>
            </w:r>
            <w:r>
              <w:rPr>
                <w:rFonts w:hint="eastAsia" w:ascii="宋体" w:hAnsi="宋体" w:eastAsia="宋体" w:cs="宋体"/>
                <w:sz w:val="24"/>
                <w:szCs w:val="24"/>
                <w:lang w:val="en-US" w:eastAsia="zh-CN"/>
              </w:rPr>
              <w:t>下</w:t>
            </w:r>
            <w:r>
              <w:rPr>
                <w:rFonts w:hint="eastAsia" w:ascii="宋体" w:hAnsi="宋体" w:eastAsia="宋体" w:cs="宋体"/>
                <w:bCs/>
                <w:color w:val="auto"/>
                <w:sz w:val="24"/>
                <w:szCs w:val="24"/>
                <w:lang w:eastAsia="zh-CN"/>
              </w:rPr>
              <w:t>：</w:t>
            </w:r>
            <w:r>
              <w:rPr>
                <w:rFonts w:hint="eastAsia" w:ascii="宋体" w:hAnsi="宋体" w:eastAsia="宋体" w:cs="宋体"/>
                <w:bCs/>
                <w:color w:val="auto"/>
                <w:sz w:val="24"/>
                <w:szCs w:val="24"/>
                <w:lang w:val="en-US" w:eastAsia="zh-CN"/>
              </w:rPr>
              <w:t>应</w:t>
            </w:r>
            <w:r>
              <w:rPr>
                <w:rFonts w:hint="eastAsia" w:ascii="宋体" w:hAnsi="宋体" w:eastAsia="宋体" w:cs="宋体"/>
                <w:sz w:val="24"/>
                <w:szCs w:val="24"/>
              </w:rPr>
              <w:t>＜</w:t>
            </w:r>
            <w:r>
              <w:rPr>
                <w:rFonts w:hint="eastAsia" w:ascii="宋体" w:hAnsi="宋体" w:eastAsia="宋体" w:cs="宋体"/>
                <w:bCs/>
                <w:color w:val="auto"/>
                <w:sz w:val="24"/>
                <w:szCs w:val="24"/>
                <w:lang w:eastAsia="zh-CN"/>
              </w:rPr>
              <w:t>0.0</w:t>
            </w:r>
            <w:r>
              <w:rPr>
                <w:rFonts w:hint="eastAsia" w:ascii="宋体" w:hAnsi="宋体" w:eastAsia="宋体" w:cs="宋体"/>
                <w:bCs/>
                <w:color w:val="auto"/>
                <w:sz w:val="24"/>
                <w:szCs w:val="24"/>
                <w:lang w:val="en-US" w:eastAsia="zh-CN"/>
              </w:rPr>
              <w:t>2</w:t>
            </w:r>
            <w:r>
              <w:rPr>
                <w:rFonts w:hint="eastAsia" w:ascii="宋体" w:hAnsi="宋体" w:eastAsia="宋体" w:cs="宋体"/>
                <w:bCs/>
                <w:color w:val="auto"/>
                <w:sz w:val="24"/>
                <w:szCs w:val="24"/>
                <w:lang w:eastAsia="zh-CN"/>
              </w:rPr>
              <w:t>µSv/h。</w:t>
            </w:r>
          </w:p>
        </w:tc>
      </w:tr>
      <w:tr w14:paraId="61633C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vAlign w:val="center"/>
          </w:tcPr>
          <w:p w14:paraId="65A75B17">
            <w:pPr>
              <w:spacing w:line="36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11</w:t>
            </w:r>
          </w:p>
        </w:tc>
        <w:tc>
          <w:tcPr>
            <w:tcW w:w="2425" w:type="dxa"/>
            <w:tcBorders>
              <w:tl2br w:val="nil"/>
              <w:tr2bl w:val="nil"/>
            </w:tcBorders>
            <w:vAlign w:val="center"/>
          </w:tcPr>
          <w:p w14:paraId="4C6E4712">
            <w:pPr>
              <w:spacing w:line="360" w:lineRule="atLeast"/>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★主机噪音</w:t>
            </w:r>
          </w:p>
        </w:tc>
        <w:tc>
          <w:tcPr>
            <w:tcW w:w="5464" w:type="dxa"/>
            <w:tcBorders>
              <w:tl2br w:val="nil"/>
              <w:tr2bl w:val="nil"/>
            </w:tcBorders>
            <w:vAlign w:val="top"/>
          </w:tcPr>
          <w:p w14:paraId="1AEDAC59">
            <w:pPr>
              <w:spacing w:line="360" w:lineRule="atLeast"/>
              <w:rPr>
                <w:rFonts w:hint="eastAsia" w:ascii="宋体" w:hAnsi="宋体" w:eastAsia="宋体" w:cs="宋体"/>
                <w:bCs/>
                <w:color w:val="auto"/>
                <w:sz w:val="24"/>
                <w:szCs w:val="24"/>
                <w:lang w:eastAsia="zh-CN"/>
              </w:rPr>
            </w:pPr>
            <w:r>
              <w:rPr>
                <w:rFonts w:hint="eastAsia" w:ascii="宋体" w:hAnsi="宋体" w:eastAsia="宋体" w:cs="宋体"/>
                <w:bCs/>
                <w:color w:val="auto"/>
                <w:sz w:val="24"/>
                <w:szCs w:val="24"/>
                <w:lang w:val="en-US" w:eastAsia="zh-CN"/>
              </w:rPr>
              <w:t>设备正常工作时在距设备外表面1m的任意处，设备噪声应</w:t>
            </w:r>
            <w:r>
              <w:rPr>
                <w:rFonts w:hint="eastAsia" w:ascii="宋体" w:hAnsi="宋体" w:eastAsia="宋体" w:cs="宋体"/>
                <w:bCs/>
                <w:color w:val="auto"/>
                <w:sz w:val="24"/>
                <w:szCs w:val="24"/>
              </w:rPr>
              <w:t>＜5</w:t>
            </w:r>
            <w:r>
              <w:rPr>
                <w:rFonts w:hint="eastAsia" w:ascii="宋体" w:hAnsi="宋体" w:eastAsia="宋体" w:cs="宋体"/>
                <w:bCs/>
                <w:color w:val="auto"/>
                <w:sz w:val="24"/>
                <w:szCs w:val="24"/>
                <w:lang w:val="en-US" w:eastAsia="zh-CN"/>
              </w:rPr>
              <w:t>3</w:t>
            </w:r>
            <w:r>
              <w:rPr>
                <w:rFonts w:hint="eastAsia" w:ascii="宋体" w:hAnsi="宋体" w:eastAsia="宋体" w:cs="宋体"/>
                <w:bCs/>
                <w:color w:val="auto"/>
                <w:sz w:val="24"/>
                <w:szCs w:val="24"/>
              </w:rPr>
              <w:t>dB(A)</w:t>
            </w:r>
            <w:r>
              <w:rPr>
                <w:rFonts w:hint="eastAsia" w:ascii="宋体" w:hAnsi="宋体" w:eastAsia="宋体" w:cs="宋体"/>
                <w:bCs/>
                <w:color w:val="auto"/>
                <w:sz w:val="24"/>
                <w:szCs w:val="24"/>
                <w:lang w:eastAsia="zh-CN"/>
              </w:rPr>
              <w:t>。</w:t>
            </w:r>
          </w:p>
        </w:tc>
      </w:tr>
      <w:tr w14:paraId="22C70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vAlign w:val="center"/>
          </w:tcPr>
          <w:p w14:paraId="2500CE89">
            <w:pPr>
              <w:spacing w:line="360" w:lineRule="atLeast"/>
              <w:jc w:val="center"/>
              <w:rPr>
                <w:rFonts w:hint="eastAsia" w:ascii="宋体" w:hAnsi="宋体" w:eastAsia="宋体" w:cs="宋体"/>
                <w:bCs/>
                <w:color w:val="auto"/>
                <w:sz w:val="24"/>
                <w:szCs w:val="24"/>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2</w:t>
            </w:r>
          </w:p>
        </w:tc>
        <w:tc>
          <w:tcPr>
            <w:tcW w:w="2425" w:type="dxa"/>
            <w:tcBorders>
              <w:tl2br w:val="nil"/>
              <w:tr2bl w:val="nil"/>
            </w:tcBorders>
            <w:vAlign w:val="center"/>
          </w:tcPr>
          <w:p w14:paraId="2B6011A3">
            <w:pPr>
              <w:spacing w:line="360" w:lineRule="atLeast"/>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设备自诊断功能</w:t>
            </w:r>
          </w:p>
        </w:tc>
        <w:tc>
          <w:tcPr>
            <w:tcW w:w="5464" w:type="dxa"/>
            <w:tcBorders>
              <w:tl2br w:val="nil"/>
              <w:tr2bl w:val="nil"/>
            </w:tcBorders>
            <w:vAlign w:val="center"/>
          </w:tcPr>
          <w:p w14:paraId="2A09E594">
            <w:pPr>
              <w:keepNext w:val="0"/>
              <w:keepLines w:val="0"/>
              <w:widowControl/>
              <w:suppressLineNumbers w:val="0"/>
              <w:jc w:val="both"/>
              <w:textAlignment w:val="center"/>
              <w:rPr>
                <w:rFonts w:hint="eastAsia" w:ascii="宋体" w:hAnsi="宋体" w:eastAsia="宋体" w:cs="宋体"/>
                <w:bCs/>
                <w:color w:val="auto"/>
                <w:sz w:val="24"/>
                <w:szCs w:val="24"/>
              </w:rPr>
            </w:pPr>
            <w:r>
              <w:rPr>
                <w:rFonts w:hint="eastAsia" w:ascii="宋体" w:hAnsi="宋体" w:eastAsia="宋体" w:cs="宋体"/>
                <w:i w:val="0"/>
                <w:color w:val="000000"/>
                <w:kern w:val="0"/>
                <w:sz w:val="24"/>
                <w:szCs w:val="24"/>
                <w:u w:val="none"/>
                <w:lang w:val="en-US" w:eastAsia="zh-CN" w:bidi="ar"/>
              </w:rPr>
              <w:t>设备应具备自诊断功能，并生成至少包括X射线产生装置、X射线探测器、控制器等主要功能部件运行状态的诊断报告。</w:t>
            </w:r>
          </w:p>
        </w:tc>
      </w:tr>
      <w:tr w14:paraId="697FB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vAlign w:val="center"/>
          </w:tcPr>
          <w:p w14:paraId="2495C23E">
            <w:pPr>
              <w:spacing w:line="360" w:lineRule="atLeast"/>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3</w:t>
            </w:r>
          </w:p>
        </w:tc>
        <w:tc>
          <w:tcPr>
            <w:tcW w:w="2425" w:type="dxa"/>
            <w:tcBorders>
              <w:tl2br w:val="nil"/>
              <w:tr2bl w:val="nil"/>
            </w:tcBorders>
            <w:vAlign w:val="center"/>
          </w:tcPr>
          <w:p w14:paraId="5E0CE32B">
            <w:pPr>
              <w:spacing w:line="360" w:lineRule="atLeast"/>
              <w:jc w:val="left"/>
              <w:rPr>
                <w:rFonts w:hint="eastAsia" w:ascii="宋体" w:hAnsi="宋体" w:eastAsia="宋体" w:cs="宋体"/>
                <w:bCs/>
                <w:color w:val="auto"/>
                <w:kern w:val="2"/>
                <w:sz w:val="24"/>
                <w:szCs w:val="24"/>
                <w:lang w:val="en-US" w:eastAsia="zh-CN" w:bidi="ar-SA"/>
              </w:rPr>
            </w:pPr>
            <w:r>
              <w:rPr>
                <w:rFonts w:hint="eastAsia" w:ascii="宋体" w:hAnsi="宋体" w:cs="宋体"/>
                <w:bCs/>
                <w:color w:val="auto"/>
                <w:sz w:val="24"/>
                <w:szCs w:val="24"/>
                <w:lang w:val="en-US" w:eastAsia="zh-CN"/>
              </w:rPr>
              <w:t>工作环境温度试验</w:t>
            </w:r>
          </w:p>
        </w:tc>
        <w:tc>
          <w:tcPr>
            <w:tcW w:w="5464" w:type="dxa"/>
            <w:tcBorders>
              <w:tl2br w:val="nil"/>
              <w:tr2bl w:val="nil"/>
            </w:tcBorders>
            <w:vAlign w:val="center"/>
          </w:tcPr>
          <w:p w14:paraId="59014CE6">
            <w:pPr>
              <w:keepNext w:val="0"/>
              <w:keepLines w:val="0"/>
              <w:widowControl/>
              <w:suppressLineNumbers w:val="0"/>
              <w:spacing w:line="240" w:lineRule="auto"/>
              <w:jc w:val="both"/>
              <w:textAlignment w:val="center"/>
              <w:rPr>
                <w:rFonts w:hint="eastAsia"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低温整机</w:t>
            </w:r>
            <w:r>
              <w:rPr>
                <w:rFonts w:hint="eastAsia" w:ascii="宋体" w:hAnsi="宋体" w:eastAsia="宋体" w:cs="宋体"/>
                <w:bCs/>
                <w:color w:val="auto"/>
                <w:sz w:val="24"/>
                <w:szCs w:val="24"/>
                <w:lang w:val="en-US" w:eastAsia="zh-CN"/>
              </w:rPr>
              <w:t>整机：-20℃±3℃，8h；</w:t>
            </w:r>
          </w:p>
          <w:p w14:paraId="21BE0B6A">
            <w:pPr>
              <w:keepNext w:val="0"/>
              <w:keepLines w:val="0"/>
              <w:widowControl/>
              <w:suppressLineNumbers w:val="0"/>
              <w:spacing w:line="240" w:lineRule="auto"/>
              <w:jc w:val="both"/>
              <w:textAlignment w:val="center"/>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lang w:val="en-US" w:eastAsia="zh-CN"/>
              </w:rPr>
              <w:t>高温试验整机：60℃±2℃，8h；</w:t>
            </w:r>
          </w:p>
          <w:p w14:paraId="6BB102E0">
            <w:pPr>
              <w:keepNext w:val="0"/>
              <w:keepLines w:val="0"/>
              <w:widowControl/>
              <w:suppressLineNumbers w:val="0"/>
              <w:spacing w:line="240" w:lineRule="auto"/>
              <w:jc w:val="both"/>
              <w:textAlignment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lang w:val="en-US" w:eastAsia="zh-CN"/>
              </w:rPr>
              <w:t>试验后设备应能正常工作，且不应出现锈蚀和机械损伤现象。</w:t>
            </w:r>
          </w:p>
        </w:tc>
      </w:tr>
      <w:tr w14:paraId="5B4472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vAlign w:val="center"/>
          </w:tcPr>
          <w:p w14:paraId="0B5D2A85">
            <w:pPr>
              <w:spacing w:line="360" w:lineRule="atLeast"/>
              <w:jc w:val="center"/>
              <w:rPr>
                <w:rFonts w:hint="eastAsia" w:ascii="宋体" w:hAnsi="宋体" w:eastAsia="宋体" w:cs="宋体"/>
                <w:bCs/>
                <w:color w:val="auto"/>
                <w:kern w:val="2"/>
                <w:sz w:val="24"/>
                <w:szCs w:val="24"/>
                <w:lang w:val="en-US" w:eastAsia="zh-CN" w:bidi="ar-SA"/>
              </w:rPr>
            </w:pPr>
            <w:r>
              <w:rPr>
                <w:rFonts w:hint="eastAsia" w:ascii="宋体" w:hAnsi="宋体" w:eastAsia="宋体" w:cs="宋体"/>
                <w:bCs/>
                <w:color w:val="auto"/>
                <w:sz w:val="24"/>
                <w:szCs w:val="24"/>
              </w:rPr>
              <w:t>1</w:t>
            </w:r>
            <w:r>
              <w:rPr>
                <w:rFonts w:hint="eastAsia" w:ascii="宋体" w:hAnsi="宋体" w:eastAsia="宋体" w:cs="宋体"/>
                <w:bCs/>
                <w:color w:val="auto"/>
                <w:sz w:val="24"/>
                <w:szCs w:val="24"/>
                <w:lang w:val="en-US" w:eastAsia="zh-CN"/>
              </w:rPr>
              <w:t>4</w:t>
            </w:r>
          </w:p>
        </w:tc>
        <w:tc>
          <w:tcPr>
            <w:tcW w:w="2425" w:type="dxa"/>
            <w:tcBorders>
              <w:tl2br w:val="nil"/>
              <w:tr2bl w:val="nil"/>
            </w:tcBorders>
            <w:vAlign w:val="center"/>
          </w:tcPr>
          <w:p w14:paraId="6F13D900">
            <w:pPr>
              <w:spacing w:line="360" w:lineRule="atLeast"/>
              <w:jc w:val="left"/>
              <w:rPr>
                <w:rFonts w:hint="eastAsia" w:ascii="宋体" w:hAnsi="宋体" w:eastAsia="宋体" w:cs="宋体"/>
                <w:bCs/>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一键开关机</w:t>
            </w:r>
          </w:p>
        </w:tc>
        <w:tc>
          <w:tcPr>
            <w:tcW w:w="5464" w:type="dxa"/>
            <w:tcBorders>
              <w:tl2br w:val="nil"/>
              <w:tr2bl w:val="nil"/>
            </w:tcBorders>
            <w:vAlign w:val="center"/>
          </w:tcPr>
          <w:p w14:paraId="414557B1">
            <w:pPr>
              <w:keepNext w:val="0"/>
              <w:keepLines w:val="0"/>
              <w:widowControl/>
              <w:suppressLineNumbers w:val="0"/>
              <w:jc w:val="both"/>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设备应可一键开机，一键完全切断设备电源。</w:t>
            </w:r>
          </w:p>
        </w:tc>
      </w:tr>
      <w:tr w14:paraId="40665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vAlign w:val="center"/>
          </w:tcPr>
          <w:p w14:paraId="12EA6184">
            <w:pPr>
              <w:spacing w:line="360" w:lineRule="atLeast"/>
              <w:jc w:val="center"/>
              <w:rPr>
                <w:rFonts w:hint="default" w:ascii="宋体" w:hAnsi="宋体" w:eastAsia="宋体" w:cs="宋体"/>
                <w:bCs/>
                <w:color w:val="auto"/>
                <w:kern w:val="2"/>
                <w:sz w:val="24"/>
                <w:szCs w:val="24"/>
                <w:lang w:val="en-US" w:eastAsia="zh-CN" w:bidi="ar-SA"/>
              </w:rPr>
            </w:pPr>
            <w:r>
              <w:rPr>
                <w:rFonts w:hint="eastAsia" w:ascii="宋体" w:hAnsi="宋体" w:cs="宋体"/>
                <w:bCs/>
                <w:color w:val="auto"/>
                <w:sz w:val="24"/>
                <w:szCs w:val="24"/>
                <w:lang w:val="en-US" w:eastAsia="zh-CN"/>
              </w:rPr>
              <w:t>15</w:t>
            </w:r>
          </w:p>
        </w:tc>
        <w:tc>
          <w:tcPr>
            <w:tcW w:w="2425" w:type="dxa"/>
            <w:tcBorders>
              <w:tl2br w:val="nil"/>
              <w:tr2bl w:val="nil"/>
            </w:tcBorders>
            <w:vAlign w:val="center"/>
          </w:tcPr>
          <w:p w14:paraId="1680E316">
            <w:pPr>
              <w:spacing w:line="360" w:lineRule="atLeast"/>
              <w:jc w:val="left"/>
              <w:rPr>
                <w:rFonts w:hint="eastAsia" w:ascii="宋体" w:hAnsi="宋体" w:eastAsia="宋体" w:cs="宋体"/>
                <w:bCs/>
                <w:color w:val="auto"/>
                <w:sz w:val="24"/>
                <w:szCs w:val="24"/>
                <w:lang w:val="en-US" w:eastAsia="zh-CN"/>
              </w:rPr>
            </w:pPr>
            <w:r>
              <w:rPr>
                <w:rFonts w:hint="eastAsia" w:ascii="宋体" w:hAnsi="宋体" w:eastAsia="宋体" w:cs="宋体"/>
                <w:i w:val="0"/>
                <w:color w:val="000000"/>
                <w:kern w:val="0"/>
                <w:sz w:val="24"/>
                <w:szCs w:val="24"/>
                <w:u w:val="none"/>
                <w:lang w:val="en-US" w:eastAsia="zh-CN" w:bidi="ar"/>
              </w:rPr>
              <w:t>超薄扫描功能</w:t>
            </w:r>
          </w:p>
        </w:tc>
        <w:tc>
          <w:tcPr>
            <w:tcW w:w="5464" w:type="dxa"/>
            <w:tcBorders>
              <w:tl2br w:val="nil"/>
              <w:tr2bl w:val="nil"/>
            </w:tcBorders>
            <w:vAlign w:val="center"/>
          </w:tcPr>
          <w:p w14:paraId="358DD356">
            <w:pPr>
              <w:keepNext w:val="0"/>
              <w:keepLines w:val="0"/>
              <w:widowControl/>
              <w:suppressLineNumbers w:val="0"/>
              <w:jc w:val="both"/>
              <w:textAlignment w:val="center"/>
              <w:rPr>
                <w:rFonts w:hint="eastAsia" w:ascii="宋体" w:hAnsi="宋体" w:eastAsia="宋体" w:cs="宋体"/>
                <w:bCs/>
                <w:color w:val="auto"/>
                <w:sz w:val="24"/>
                <w:szCs w:val="24"/>
              </w:rPr>
            </w:pPr>
            <w:r>
              <w:rPr>
                <w:rFonts w:hint="eastAsia" w:ascii="宋体" w:hAnsi="宋体" w:eastAsia="宋体" w:cs="宋体"/>
                <w:i w:val="0"/>
                <w:color w:val="000000"/>
                <w:kern w:val="0"/>
                <w:sz w:val="24"/>
                <w:szCs w:val="24"/>
                <w:u w:val="none"/>
                <w:lang w:val="en-US" w:eastAsia="zh-CN" w:bidi="ar"/>
              </w:rPr>
              <w:t>当被测物过薄而无法遮挡光障时，按下相应的功能键后应可对</w:t>
            </w:r>
            <w:r>
              <w:rPr>
                <w:rStyle w:val="15"/>
                <w:rFonts w:hint="eastAsia" w:ascii="宋体" w:hAnsi="宋体" w:eastAsia="宋体" w:cs="宋体"/>
                <w:sz w:val="24"/>
                <w:szCs w:val="24"/>
                <w:lang w:val="en-US" w:eastAsia="zh-CN" w:bidi="ar"/>
              </w:rPr>
              <w:t>0.1mm</w:t>
            </w:r>
            <w:r>
              <w:rPr>
                <w:rStyle w:val="16"/>
                <w:rFonts w:hint="eastAsia" w:ascii="宋体" w:hAnsi="宋体" w:eastAsia="宋体" w:cs="宋体"/>
                <w:sz w:val="24"/>
                <w:szCs w:val="24"/>
                <w:lang w:val="en-US" w:eastAsia="zh-CN" w:bidi="ar"/>
              </w:rPr>
              <w:t>刀片进行出图检测。</w:t>
            </w:r>
          </w:p>
        </w:tc>
      </w:tr>
      <w:tr w14:paraId="582B0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vAlign w:val="center"/>
          </w:tcPr>
          <w:p w14:paraId="3D97E743">
            <w:pPr>
              <w:spacing w:line="360" w:lineRule="atLeast"/>
              <w:jc w:val="center"/>
              <w:rPr>
                <w:rFonts w:hint="default" w:ascii="宋体" w:hAnsi="宋体" w:eastAsia="宋体" w:cs="宋体"/>
                <w:bCs/>
                <w:color w:val="auto"/>
                <w:kern w:val="2"/>
                <w:sz w:val="24"/>
                <w:szCs w:val="24"/>
                <w:lang w:val="en-US" w:eastAsia="zh-CN" w:bidi="ar-SA"/>
              </w:rPr>
            </w:pPr>
            <w:r>
              <w:rPr>
                <w:rFonts w:hint="eastAsia" w:ascii="宋体" w:hAnsi="宋体" w:cs="宋体"/>
                <w:bCs/>
                <w:color w:val="auto"/>
                <w:sz w:val="24"/>
                <w:szCs w:val="24"/>
                <w:lang w:val="en-US" w:eastAsia="zh-CN"/>
              </w:rPr>
              <w:t>16</w:t>
            </w:r>
          </w:p>
        </w:tc>
        <w:tc>
          <w:tcPr>
            <w:tcW w:w="2425" w:type="dxa"/>
            <w:tcBorders>
              <w:tl2br w:val="nil"/>
              <w:tr2bl w:val="nil"/>
            </w:tcBorders>
            <w:vAlign w:val="center"/>
          </w:tcPr>
          <w:p w14:paraId="7CED5AA9">
            <w:pPr>
              <w:spacing w:line="360" w:lineRule="atLeast"/>
              <w:jc w:val="left"/>
              <w:rPr>
                <w:rFonts w:hint="eastAsia" w:ascii="宋体" w:hAnsi="宋体" w:eastAsia="宋体" w:cs="宋体"/>
                <w:bCs/>
                <w:color w:val="auto"/>
                <w:sz w:val="24"/>
                <w:szCs w:val="24"/>
                <w:lang w:val="en-US" w:eastAsia="zh-CN"/>
              </w:rPr>
            </w:pPr>
            <w:r>
              <w:rPr>
                <w:rStyle w:val="15"/>
                <w:rFonts w:hint="eastAsia" w:ascii="宋体" w:hAnsi="宋体" w:eastAsia="宋体" w:cs="宋体"/>
                <w:sz w:val="24"/>
                <w:szCs w:val="24"/>
                <w:lang w:val="en-US" w:eastAsia="zh-CN" w:bidi="ar"/>
              </w:rPr>
              <w:t>TIP</w:t>
            </w:r>
            <w:r>
              <w:rPr>
                <w:rStyle w:val="16"/>
                <w:rFonts w:hint="eastAsia" w:ascii="宋体" w:hAnsi="宋体" w:eastAsia="宋体" w:cs="宋体"/>
                <w:sz w:val="24"/>
                <w:szCs w:val="24"/>
                <w:lang w:val="en-US" w:eastAsia="zh-CN" w:bidi="ar"/>
              </w:rPr>
              <w:t>功能及危险品图库</w:t>
            </w:r>
          </w:p>
        </w:tc>
        <w:tc>
          <w:tcPr>
            <w:tcW w:w="5464" w:type="dxa"/>
            <w:tcBorders>
              <w:tl2br w:val="nil"/>
              <w:tr2bl w:val="nil"/>
            </w:tcBorders>
            <w:vAlign w:val="center"/>
          </w:tcPr>
          <w:p w14:paraId="66DBD578">
            <w:pPr>
              <w:keepNext w:val="0"/>
              <w:keepLines w:val="0"/>
              <w:widowControl/>
              <w:suppressLineNumbers w:val="0"/>
              <w:jc w:val="both"/>
              <w:textAlignment w:val="center"/>
              <w:rPr>
                <w:rFonts w:hint="eastAsia" w:ascii="宋体" w:hAnsi="宋体" w:eastAsia="宋体" w:cs="宋体"/>
                <w:bCs/>
                <w:color w:val="auto"/>
                <w:sz w:val="24"/>
                <w:szCs w:val="24"/>
              </w:rPr>
            </w:pPr>
            <w:r>
              <w:rPr>
                <w:rStyle w:val="16"/>
                <w:rFonts w:hint="eastAsia" w:ascii="宋体" w:hAnsi="宋体" w:eastAsia="宋体" w:cs="宋体"/>
                <w:sz w:val="24"/>
                <w:szCs w:val="24"/>
                <w:lang w:val="en-US" w:eastAsia="zh-CN" w:bidi="ar"/>
              </w:rPr>
              <w:t>设备应具有至少</w:t>
            </w:r>
            <w:r>
              <w:rPr>
                <w:rStyle w:val="15"/>
                <w:rFonts w:hint="eastAsia" w:ascii="宋体" w:hAnsi="宋体" w:eastAsia="宋体" w:cs="宋体"/>
                <w:sz w:val="24"/>
                <w:szCs w:val="24"/>
                <w:lang w:val="en-US" w:eastAsia="zh-CN" w:bidi="ar"/>
              </w:rPr>
              <w:t>1300</w:t>
            </w:r>
            <w:r>
              <w:rPr>
                <w:rStyle w:val="16"/>
                <w:rFonts w:hint="eastAsia" w:ascii="宋体" w:hAnsi="宋体" w:eastAsia="宋体" w:cs="宋体"/>
                <w:sz w:val="24"/>
                <w:szCs w:val="24"/>
                <w:lang w:val="en-US" w:eastAsia="zh-CN" w:bidi="ar"/>
              </w:rPr>
              <w:t>张危险品图库，管理员应能制定危险品插入计划，应能统计安检员的考核情况并生成报表。</w:t>
            </w:r>
          </w:p>
        </w:tc>
      </w:tr>
      <w:tr w14:paraId="263D4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vAlign w:val="center"/>
          </w:tcPr>
          <w:p w14:paraId="0CA5A243">
            <w:pPr>
              <w:spacing w:line="360" w:lineRule="atLeast"/>
              <w:jc w:val="center"/>
              <w:rPr>
                <w:rFonts w:hint="default" w:ascii="宋体" w:hAnsi="宋体" w:eastAsia="宋体" w:cs="宋体"/>
                <w:bCs/>
                <w:color w:val="auto"/>
                <w:kern w:val="2"/>
                <w:sz w:val="24"/>
                <w:szCs w:val="24"/>
                <w:lang w:val="en-US" w:eastAsia="zh-CN" w:bidi="ar-SA"/>
              </w:rPr>
            </w:pPr>
            <w:r>
              <w:rPr>
                <w:rFonts w:hint="eastAsia" w:ascii="宋体" w:hAnsi="宋体" w:cs="宋体"/>
                <w:bCs/>
                <w:color w:val="auto"/>
                <w:sz w:val="24"/>
                <w:szCs w:val="24"/>
                <w:lang w:val="en-US" w:eastAsia="zh-CN"/>
              </w:rPr>
              <w:t>17</w:t>
            </w:r>
          </w:p>
        </w:tc>
        <w:tc>
          <w:tcPr>
            <w:tcW w:w="2425" w:type="dxa"/>
            <w:tcBorders>
              <w:tl2br w:val="nil"/>
              <w:tr2bl w:val="nil"/>
            </w:tcBorders>
            <w:vAlign w:val="center"/>
          </w:tcPr>
          <w:p w14:paraId="66180424">
            <w:pPr>
              <w:spacing w:line="360" w:lineRule="atLeast"/>
              <w:jc w:val="left"/>
              <w:rPr>
                <w:rFonts w:hint="eastAsia" w:ascii="宋体" w:hAnsi="宋体" w:eastAsia="宋体" w:cs="宋体"/>
                <w:bCs/>
                <w:color w:val="auto"/>
                <w:sz w:val="24"/>
                <w:szCs w:val="24"/>
                <w:lang w:val="en-US" w:eastAsia="zh-CN"/>
              </w:rPr>
            </w:pPr>
            <w:r>
              <w:rPr>
                <w:rFonts w:hint="eastAsia" w:ascii="宋体" w:hAnsi="宋体" w:eastAsia="宋体" w:cs="宋体"/>
                <w:bCs/>
                <w:color w:val="auto"/>
                <w:sz w:val="24"/>
                <w:szCs w:val="24"/>
              </w:rPr>
              <w:t>★</w:t>
            </w:r>
            <w:r>
              <w:rPr>
                <w:rFonts w:hint="eastAsia" w:ascii="宋体" w:hAnsi="宋体" w:eastAsia="宋体" w:cs="宋体"/>
                <w:i w:val="0"/>
                <w:color w:val="000000"/>
                <w:kern w:val="0"/>
                <w:sz w:val="24"/>
                <w:szCs w:val="24"/>
                <w:u w:val="none"/>
                <w:lang w:val="en-US" w:eastAsia="zh-CN" w:bidi="ar"/>
              </w:rPr>
              <w:t>危险液体检测报警功能</w:t>
            </w:r>
          </w:p>
        </w:tc>
        <w:tc>
          <w:tcPr>
            <w:tcW w:w="5464" w:type="dxa"/>
            <w:tcBorders>
              <w:tl2br w:val="nil"/>
              <w:tr2bl w:val="nil"/>
            </w:tcBorders>
            <w:vAlign w:val="center"/>
          </w:tcPr>
          <w:p w14:paraId="22D44A32">
            <w:pPr>
              <w:keepNext w:val="0"/>
              <w:keepLines w:val="0"/>
              <w:widowControl/>
              <w:suppressLineNumbers w:val="0"/>
              <w:jc w:val="both"/>
              <w:textAlignment w:val="center"/>
              <w:rPr>
                <w:rFonts w:hint="eastAsia" w:ascii="宋体" w:hAnsi="宋体" w:eastAsia="宋体" w:cs="宋体"/>
                <w:bCs/>
                <w:color w:val="auto"/>
                <w:sz w:val="24"/>
                <w:szCs w:val="24"/>
              </w:rPr>
            </w:pPr>
            <w:r>
              <w:rPr>
                <w:rFonts w:hint="eastAsia" w:ascii="宋体" w:hAnsi="宋体" w:eastAsia="宋体" w:cs="宋体"/>
                <w:i w:val="0"/>
                <w:color w:val="000000"/>
                <w:kern w:val="0"/>
                <w:sz w:val="24"/>
                <w:szCs w:val="24"/>
                <w:u w:val="none"/>
                <w:lang w:val="en-US" w:eastAsia="zh-CN" w:bidi="ar"/>
              </w:rPr>
              <w:t>当放置在常用塑料饮料瓶内的以下液体通过</w:t>
            </w:r>
            <w:r>
              <w:rPr>
                <w:rStyle w:val="15"/>
                <w:rFonts w:hint="eastAsia" w:ascii="宋体" w:hAnsi="宋体" w:eastAsia="宋体" w:cs="宋体"/>
                <w:sz w:val="24"/>
                <w:szCs w:val="24"/>
                <w:lang w:val="en-US" w:eastAsia="zh-CN" w:bidi="ar"/>
              </w:rPr>
              <w:t>X</w:t>
            </w:r>
            <w:r>
              <w:rPr>
                <w:rStyle w:val="16"/>
                <w:rFonts w:hint="eastAsia" w:ascii="宋体" w:hAnsi="宋体" w:eastAsia="宋体" w:cs="宋体"/>
                <w:sz w:val="24"/>
                <w:szCs w:val="24"/>
                <w:lang w:val="en-US" w:eastAsia="zh-CN" w:bidi="ar"/>
              </w:rPr>
              <w:t>光通道时，应能检测并报警：柴油，汽油，机油，二甲苯</w:t>
            </w:r>
            <w:bookmarkStart w:id="0" w:name="_GoBack"/>
            <w:bookmarkEnd w:id="0"/>
            <w:r>
              <w:rPr>
                <w:rStyle w:val="16"/>
                <w:rFonts w:hint="eastAsia" w:ascii="宋体" w:hAnsi="宋体" w:eastAsia="宋体" w:cs="宋体"/>
                <w:sz w:val="24"/>
                <w:szCs w:val="24"/>
                <w:lang w:val="en-US" w:eastAsia="zh-CN" w:bidi="ar"/>
              </w:rPr>
              <w:t>。</w:t>
            </w:r>
            <w:r>
              <w:rPr>
                <w:rStyle w:val="16"/>
                <w:rFonts w:hint="eastAsia" w:ascii="宋体" w:hAnsi="宋体" w:cs="宋体"/>
                <w:sz w:val="24"/>
                <w:szCs w:val="24"/>
                <w:lang w:val="en-US" w:eastAsia="zh-CN" w:bidi="ar"/>
              </w:rPr>
              <w:t>（现场验收）</w:t>
            </w:r>
          </w:p>
        </w:tc>
      </w:tr>
      <w:tr w14:paraId="70570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vAlign w:val="center"/>
          </w:tcPr>
          <w:p w14:paraId="6C30966C">
            <w:pPr>
              <w:spacing w:line="360" w:lineRule="atLeast"/>
              <w:jc w:val="center"/>
              <w:rPr>
                <w:rFonts w:hint="default" w:ascii="宋体" w:hAnsi="宋体" w:eastAsia="宋体" w:cs="宋体"/>
                <w:bCs/>
                <w:color w:val="auto"/>
                <w:kern w:val="2"/>
                <w:sz w:val="24"/>
                <w:szCs w:val="24"/>
                <w:lang w:val="en-US" w:eastAsia="zh-CN" w:bidi="ar-SA"/>
              </w:rPr>
            </w:pPr>
            <w:r>
              <w:rPr>
                <w:rFonts w:hint="eastAsia" w:ascii="宋体" w:hAnsi="宋体" w:cs="宋体"/>
                <w:bCs/>
                <w:color w:val="auto"/>
                <w:sz w:val="24"/>
                <w:szCs w:val="24"/>
                <w:lang w:val="en-US" w:eastAsia="zh-CN"/>
              </w:rPr>
              <w:t>18</w:t>
            </w:r>
          </w:p>
        </w:tc>
        <w:tc>
          <w:tcPr>
            <w:tcW w:w="2425" w:type="dxa"/>
            <w:tcBorders>
              <w:tl2br w:val="nil"/>
              <w:tr2bl w:val="nil"/>
            </w:tcBorders>
            <w:vAlign w:val="center"/>
          </w:tcPr>
          <w:p w14:paraId="2F2C0CC3">
            <w:pPr>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w:t>
            </w:r>
            <w:r>
              <w:rPr>
                <w:rFonts w:hint="eastAsia" w:ascii="宋体" w:hAnsi="宋体" w:eastAsia="宋体" w:cs="宋体"/>
                <w:i w:val="0"/>
                <w:color w:val="000000"/>
                <w:kern w:val="0"/>
                <w:sz w:val="24"/>
                <w:szCs w:val="24"/>
                <w:u w:val="none"/>
                <w:lang w:val="en-US" w:eastAsia="zh-CN" w:bidi="ar"/>
              </w:rPr>
              <w:t>多瓶液体同时检测报警功能</w:t>
            </w:r>
          </w:p>
        </w:tc>
        <w:tc>
          <w:tcPr>
            <w:tcW w:w="5464" w:type="dxa"/>
            <w:tcBorders>
              <w:tl2br w:val="nil"/>
              <w:tr2bl w:val="nil"/>
            </w:tcBorders>
            <w:vAlign w:val="center"/>
          </w:tcPr>
          <w:p w14:paraId="10FB12A0">
            <w:pPr>
              <w:keepNext w:val="0"/>
              <w:keepLines w:val="0"/>
              <w:widowControl/>
              <w:suppressLineNumbers w:val="0"/>
              <w:jc w:val="both"/>
              <w:textAlignment w:val="center"/>
              <w:rPr>
                <w:rFonts w:hint="eastAsia" w:ascii="宋体" w:hAnsi="宋体" w:eastAsia="宋体" w:cs="宋体"/>
                <w:bCs/>
                <w:color w:val="auto"/>
                <w:sz w:val="24"/>
                <w:szCs w:val="24"/>
              </w:rPr>
            </w:pPr>
            <w:r>
              <w:rPr>
                <w:rFonts w:hint="eastAsia" w:ascii="宋体" w:hAnsi="宋体" w:eastAsia="宋体" w:cs="宋体"/>
                <w:i w:val="0"/>
                <w:color w:val="000000"/>
                <w:kern w:val="0"/>
                <w:sz w:val="24"/>
                <w:szCs w:val="24"/>
                <w:u w:val="none"/>
                <w:lang w:val="en-US" w:eastAsia="zh-CN" w:bidi="ar"/>
              </w:rPr>
              <w:t>当放置在常用塑料饮料瓶内的多瓶液体通过</w:t>
            </w:r>
            <w:r>
              <w:rPr>
                <w:rStyle w:val="16"/>
                <w:rFonts w:hint="eastAsia" w:ascii="宋体" w:hAnsi="宋体" w:eastAsia="宋体" w:cs="宋体"/>
                <w:sz w:val="24"/>
                <w:szCs w:val="24"/>
                <w:lang w:val="en-US" w:eastAsia="zh-CN" w:bidi="ar"/>
              </w:rPr>
              <w:t>通道时，设备应能对危险液体分别提示报警。</w:t>
            </w:r>
            <w:r>
              <w:rPr>
                <w:rStyle w:val="16"/>
                <w:rFonts w:hint="eastAsia" w:ascii="宋体" w:hAnsi="宋体" w:cs="宋体"/>
                <w:sz w:val="24"/>
                <w:szCs w:val="24"/>
                <w:lang w:val="en-US" w:eastAsia="zh-CN" w:bidi="ar"/>
              </w:rPr>
              <w:t>（现场验收）</w:t>
            </w:r>
          </w:p>
        </w:tc>
      </w:tr>
      <w:tr w14:paraId="69E2B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vAlign w:val="center"/>
          </w:tcPr>
          <w:p w14:paraId="5F299146">
            <w:pPr>
              <w:spacing w:line="360" w:lineRule="atLeast"/>
              <w:jc w:val="center"/>
              <w:rPr>
                <w:rFonts w:hint="default" w:ascii="宋体" w:hAnsi="宋体" w:eastAsia="宋体" w:cs="宋体"/>
                <w:bCs/>
                <w:color w:val="auto"/>
                <w:kern w:val="2"/>
                <w:sz w:val="24"/>
                <w:szCs w:val="24"/>
                <w:lang w:val="en-US" w:eastAsia="zh-CN" w:bidi="ar-SA"/>
              </w:rPr>
            </w:pPr>
            <w:r>
              <w:rPr>
                <w:rFonts w:hint="eastAsia" w:ascii="宋体" w:hAnsi="宋体" w:cs="宋体"/>
                <w:bCs/>
                <w:color w:val="auto"/>
                <w:sz w:val="24"/>
                <w:szCs w:val="24"/>
                <w:lang w:val="en-US" w:eastAsia="zh-CN"/>
              </w:rPr>
              <w:t>19</w:t>
            </w:r>
          </w:p>
        </w:tc>
        <w:tc>
          <w:tcPr>
            <w:tcW w:w="2425" w:type="dxa"/>
            <w:tcBorders>
              <w:tl2br w:val="nil"/>
              <w:tr2bl w:val="nil"/>
            </w:tcBorders>
            <w:vAlign w:val="center"/>
          </w:tcPr>
          <w:p w14:paraId="29E67259">
            <w:pPr>
              <w:spacing w:line="360" w:lineRule="atLeast"/>
              <w:jc w:val="left"/>
              <w:rPr>
                <w:rFonts w:hint="eastAsia" w:ascii="宋体" w:hAnsi="宋体" w:eastAsia="宋体" w:cs="宋体"/>
                <w:bCs/>
                <w:color w:val="auto"/>
                <w:sz w:val="24"/>
                <w:szCs w:val="24"/>
              </w:rPr>
            </w:pPr>
            <w:r>
              <w:rPr>
                <w:rFonts w:hint="eastAsia" w:ascii="宋体" w:hAnsi="宋体" w:eastAsia="宋体" w:cs="宋体"/>
                <w:bCs/>
                <w:color w:val="auto"/>
                <w:sz w:val="24"/>
                <w:szCs w:val="24"/>
              </w:rPr>
              <w:t>★</w:t>
            </w:r>
            <w:r>
              <w:rPr>
                <w:rFonts w:hint="eastAsia" w:ascii="宋体" w:hAnsi="宋体" w:eastAsia="宋体" w:cs="宋体"/>
                <w:i w:val="0"/>
                <w:color w:val="000000"/>
                <w:kern w:val="0"/>
                <w:sz w:val="24"/>
                <w:szCs w:val="24"/>
                <w:u w:val="none"/>
                <w:lang w:val="en-US" w:eastAsia="zh-CN" w:bidi="ar"/>
              </w:rPr>
              <w:t>皮带速度可调功能</w:t>
            </w:r>
          </w:p>
        </w:tc>
        <w:tc>
          <w:tcPr>
            <w:tcW w:w="5464" w:type="dxa"/>
            <w:tcBorders>
              <w:tl2br w:val="nil"/>
              <w:tr2bl w:val="nil"/>
            </w:tcBorders>
            <w:vAlign w:val="center"/>
          </w:tcPr>
          <w:p w14:paraId="4D586DA8">
            <w:pPr>
              <w:keepNext w:val="0"/>
              <w:keepLines w:val="0"/>
              <w:widowControl/>
              <w:suppressLineNumbers w:val="0"/>
              <w:jc w:val="both"/>
              <w:textAlignment w:val="center"/>
              <w:rPr>
                <w:rFonts w:hint="eastAsia" w:ascii="宋体" w:hAnsi="宋体" w:eastAsia="宋体" w:cs="宋体"/>
                <w:bCs/>
                <w:color w:val="auto"/>
                <w:sz w:val="24"/>
                <w:szCs w:val="24"/>
              </w:rPr>
            </w:pPr>
            <w:r>
              <w:rPr>
                <w:rFonts w:hint="eastAsia" w:ascii="宋体" w:hAnsi="宋体" w:eastAsia="宋体" w:cs="宋体"/>
                <w:i w:val="0"/>
                <w:color w:val="000000"/>
                <w:kern w:val="0"/>
                <w:sz w:val="24"/>
                <w:szCs w:val="24"/>
                <w:u w:val="none"/>
                <w:lang w:val="en-US" w:eastAsia="zh-CN" w:bidi="ar"/>
              </w:rPr>
              <w:t>皮带转速应具有</w:t>
            </w:r>
            <w:r>
              <w:rPr>
                <w:rStyle w:val="15"/>
                <w:rFonts w:hint="eastAsia" w:ascii="宋体" w:hAnsi="宋体" w:eastAsia="宋体" w:cs="宋体"/>
                <w:sz w:val="24"/>
                <w:szCs w:val="24"/>
                <w:lang w:val="en-US" w:eastAsia="zh-CN" w:bidi="ar"/>
              </w:rPr>
              <w:t>0.2m/s</w:t>
            </w:r>
            <w:r>
              <w:rPr>
                <w:rStyle w:val="16"/>
                <w:rFonts w:hint="eastAsia" w:ascii="宋体" w:hAnsi="宋体" w:eastAsia="宋体" w:cs="宋体"/>
                <w:sz w:val="24"/>
                <w:szCs w:val="24"/>
                <w:lang w:val="en-US" w:eastAsia="zh-CN" w:bidi="ar"/>
              </w:rPr>
              <w:t>、</w:t>
            </w:r>
            <w:r>
              <w:rPr>
                <w:rStyle w:val="15"/>
                <w:rFonts w:hint="eastAsia" w:ascii="宋体" w:hAnsi="宋体" w:eastAsia="宋体" w:cs="宋体"/>
                <w:sz w:val="24"/>
                <w:szCs w:val="24"/>
                <w:lang w:val="en-US" w:eastAsia="zh-CN" w:bidi="ar"/>
              </w:rPr>
              <w:t>0.3m/s</w:t>
            </w:r>
            <w:r>
              <w:rPr>
                <w:rStyle w:val="16"/>
                <w:rFonts w:hint="eastAsia" w:ascii="宋体" w:hAnsi="宋体" w:eastAsia="宋体" w:cs="宋体"/>
                <w:sz w:val="24"/>
                <w:szCs w:val="24"/>
                <w:lang w:val="en-US" w:eastAsia="zh-CN" w:bidi="ar"/>
              </w:rPr>
              <w:t>、</w:t>
            </w:r>
            <w:r>
              <w:rPr>
                <w:rStyle w:val="15"/>
                <w:rFonts w:hint="eastAsia" w:ascii="宋体" w:hAnsi="宋体" w:eastAsia="宋体" w:cs="宋体"/>
                <w:sz w:val="24"/>
                <w:szCs w:val="24"/>
                <w:lang w:val="en-US" w:eastAsia="zh-CN" w:bidi="ar"/>
              </w:rPr>
              <w:t>0.45m/s</w:t>
            </w:r>
            <w:r>
              <w:rPr>
                <w:rStyle w:val="16"/>
                <w:rFonts w:hint="eastAsia" w:ascii="宋体" w:hAnsi="宋体" w:eastAsia="宋体" w:cs="宋体"/>
                <w:sz w:val="24"/>
                <w:szCs w:val="24"/>
                <w:lang w:val="en-US" w:eastAsia="zh-CN" w:bidi="ar"/>
              </w:rPr>
              <w:t>可调功能，应可根据安检人流量进行切换调节，过包量分别达到</w:t>
            </w:r>
            <w:r>
              <w:rPr>
                <w:rStyle w:val="15"/>
                <w:rFonts w:hint="eastAsia" w:ascii="宋体" w:hAnsi="宋体" w:eastAsia="宋体" w:cs="宋体"/>
                <w:sz w:val="24"/>
                <w:szCs w:val="24"/>
                <w:lang w:val="en-US" w:eastAsia="zh-CN" w:bidi="ar"/>
              </w:rPr>
              <w:t>720</w:t>
            </w:r>
            <w:r>
              <w:rPr>
                <w:rStyle w:val="16"/>
                <w:rFonts w:hint="eastAsia" w:ascii="宋体" w:hAnsi="宋体" w:eastAsia="宋体" w:cs="宋体"/>
                <w:sz w:val="24"/>
                <w:szCs w:val="24"/>
                <w:lang w:val="en-US" w:eastAsia="zh-CN" w:bidi="ar"/>
              </w:rPr>
              <w:t>个</w:t>
            </w:r>
            <w:r>
              <w:rPr>
                <w:rStyle w:val="15"/>
                <w:rFonts w:hint="eastAsia" w:ascii="宋体" w:hAnsi="宋体" w:eastAsia="宋体" w:cs="宋体"/>
                <w:sz w:val="24"/>
                <w:szCs w:val="24"/>
                <w:lang w:val="en-US" w:eastAsia="zh-CN" w:bidi="ar"/>
              </w:rPr>
              <w:t>/h</w:t>
            </w:r>
            <w:r>
              <w:rPr>
                <w:rStyle w:val="16"/>
                <w:rFonts w:hint="eastAsia" w:ascii="宋体" w:hAnsi="宋体" w:eastAsia="宋体" w:cs="宋体"/>
                <w:sz w:val="24"/>
                <w:szCs w:val="24"/>
                <w:lang w:val="en-US" w:eastAsia="zh-CN" w:bidi="ar"/>
              </w:rPr>
              <w:t>、</w:t>
            </w:r>
            <w:r>
              <w:rPr>
                <w:rStyle w:val="15"/>
                <w:rFonts w:hint="eastAsia" w:ascii="宋体" w:hAnsi="宋体" w:eastAsia="宋体" w:cs="宋体"/>
                <w:sz w:val="24"/>
                <w:szCs w:val="24"/>
                <w:lang w:val="en-US" w:eastAsia="zh-CN" w:bidi="ar"/>
              </w:rPr>
              <w:t>1080</w:t>
            </w:r>
            <w:r>
              <w:rPr>
                <w:rStyle w:val="16"/>
                <w:rFonts w:hint="eastAsia" w:ascii="宋体" w:hAnsi="宋体" w:eastAsia="宋体" w:cs="宋体"/>
                <w:sz w:val="24"/>
                <w:szCs w:val="24"/>
                <w:lang w:val="en-US" w:eastAsia="zh-CN" w:bidi="ar"/>
              </w:rPr>
              <w:t>个</w:t>
            </w:r>
            <w:r>
              <w:rPr>
                <w:rStyle w:val="15"/>
                <w:rFonts w:hint="eastAsia" w:ascii="宋体" w:hAnsi="宋体" w:eastAsia="宋体" w:cs="宋体"/>
                <w:sz w:val="24"/>
                <w:szCs w:val="24"/>
                <w:lang w:val="en-US" w:eastAsia="zh-CN" w:bidi="ar"/>
              </w:rPr>
              <w:t>/h</w:t>
            </w:r>
            <w:r>
              <w:rPr>
                <w:rStyle w:val="16"/>
                <w:rFonts w:hint="eastAsia" w:ascii="宋体" w:hAnsi="宋体" w:eastAsia="宋体" w:cs="宋体"/>
                <w:sz w:val="24"/>
                <w:szCs w:val="24"/>
                <w:lang w:val="en-US" w:eastAsia="zh-CN" w:bidi="ar"/>
              </w:rPr>
              <w:t>、</w:t>
            </w:r>
            <w:r>
              <w:rPr>
                <w:rStyle w:val="15"/>
                <w:rFonts w:hint="eastAsia" w:ascii="宋体" w:hAnsi="宋体" w:eastAsia="宋体" w:cs="宋体"/>
                <w:sz w:val="24"/>
                <w:szCs w:val="24"/>
                <w:lang w:val="en-US" w:eastAsia="zh-CN" w:bidi="ar"/>
              </w:rPr>
              <w:t>1620</w:t>
            </w:r>
            <w:r>
              <w:rPr>
                <w:rStyle w:val="16"/>
                <w:rFonts w:hint="eastAsia" w:ascii="宋体" w:hAnsi="宋体" w:eastAsia="宋体" w:cs="宋体"/>
                <w:sz w:val="24"/>
                <w:szCs w:val="24"/>
                <w:lang w:val="en-US" w:eastAsia="zh-CN" w:bidi="ar"/>
              </w:rPr>
              <w:t>个</w:t>
            </w:r>
            <w:r>
              <w:rPr>
                <w:rStyle w:val="15"/>
                <w:rFonts w:hint="eastAsia" w:ascii="宋体" w:hAnsi="宋体" w:eastAsia="宋体" w:cs="宋体"/>
                <w:sz w:val="24"/>
                <w:szCs w:val="24"/>
                <w:lang w:val="en-US" w:eastAsia="zh-CN" w:bidi="ar"/>
              </w:rPr>
              <w:t>/h</w:t>
            </w:r>
            <w:r>
              <w:rPr>
                <w:rStyle w:val="16"/>
                <w:rFonts w:hint="eastAsia" w:ascii="宋体" w:hAnsi="宋体" w:eastAsia="宋体" w:cs="宋体"/>
                <w:sz w:val="24"/>
                <w:szCs w:val="24"/>
                <w:lang w:val="en-US" w:eastAsia="zh-CN" w:bidi="ar"/>
              </w:rPr>
              <w:t>。</w:t>
            </w:r>
          </w:p>
        </w:tc>
      </w:tr>
      <w:tr w14:paraId="090E1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08" w:type="dxa"/>
            <w:tcBorders>
              <w:tl2br w:val="nil"/>
              <w:tr2bl w:val="nil"/>
            </w:tcBorders>
            <w:vAlign w:val="center"/>
          </w:tcPr>
          <w:p w14:paraId="70B474F4">
            <w:pPr>
              <w:spacing w:line="360" w:lineRule="atLeast"/>
              <w:jc w:val="center"/>
              <w:rPr>
                <w:rFonts w:hint="default" w:ascii="宋体" w:hAnsi="宋体" w:eastAsia="宋体" w:cs="宋体"/>
                <w:bCs/>
                <w:color w:val="auto"/>
                <w:sz w:val="24"/>
                <w:szCs w:val="24"/>
                <w:lang w:val="en-US" w:eastAsia="zh-CN"/>
              </w:rPr>
            </w:pPr>
            <w:r>
              <w:rPr>
                <w:rFonts w:hint="eastAsia" w:ascii="宋体" w:hAnsi="宋体" w:cs="宋体"/>
                <w:bCs/>
                <w:color w:val="auto"/>
                <w:sz w:val="24"/>
                <w:szCs w:val="24"/>
                <w:lang w:val="en-US" w:eastAsia="zh-CN"/>
              </w:rPr>
              <w:t>20</w:t>
            </w:r>
          </w:p>
        </w:tc>
        <w:tc>
          <w:tcPr>
            <w:tcW w:w="2425" w:type="dxa"/>
            <w:tcBorders>
              <w:tl2br w:val="nil"/>
              <w:tr2bl w:val="nil"/>
            </w:tcBorders>
            <w:vAlign w:val="center"/>
          </w:tcPr>
          <w:p w14:paraId="0DC114E0">
            <w:pPr>
              <w:spacing w:line="360" w:lineRule="atLeast"/>
              <w:jc w:val="left"/>
              <w:rPr>
                <w:rFonts w:hint="eastAsia" w:ascii="宋体" w:hAnsi="宋体" w:eastAsia="宋体" w:cs="宋体"/>
                <w:bCs/>
                <w:color w:val="auto"/>
                <w:sz w:val="24"/>
                <w:szCs w:val="24"/>
              </w:rPr>
            </w:pPr>
            <w:r>
              <w:rPr>
                <w:rFonts w:hint="eastAsia" w:ascii="宋体" w:hAnsi="宋体" w:eastAsia="宋体" w:cs="宋体"/>
                <w:bCs/>
                <w:sz w:val="24"/>
                <w:szCs w:val="24"/>
              </w:rPr>
              <w:t>检测报告要求</w:t>
            </w:r>
          </w:p>
        </w:tc>
        <w:tc>
          <w:tcPr>
            <w:tcW w:w="5464" w:type="dxa"/>
            <w:tcBorders>
              <w:tl2br w:val="nil"/>
              <w:tr2bl w:val="nil"/>
            </w:tcBorders>
            <w:vAlign w:val="top"/>
          </w:tcPr>
          <w:p w14:paraId="380BAD64">
            <w:pPr>
              <w:adjustRightInd w:val="0"/>
              <w:snapToGrid w:val="0"/>
              <w:spacing w:before="156" w:beforeLines="50" w:after="156" w:afterLines="50"/>
              <w:ind w:firstLine="482" w:firstLineChars="201"/>
              <w:rPr>
                <w:rFonts w:hint="eastAsia" w:ascii="宋体" w:hAnsi="宋体" w:eastAsia="宋体" w:cs="宋体"/>
                <w:bCs/>
                <w:color w:val="auto"/>
                <w:sz w:val="24"/>
                <w:szCs w:val="24"/>
                <w:lang w:val="en-US" w:eastAsia="zh-CN"/>
              </w:rPr>
            </w:pPr>
            <w:r>
              <w:rPr>
                <w:rFonts w:hint="eastAsia" w:ascii="宋体" w:hAnsi="宋体" w:eastAsia="宋体" w:cs="宋体"/>
                <w:b w:val="0"/>
                <w:bCs/>
                <w:color w:val="auto"/>
                <w:sz w:val="24"/>
                <w:szCs w:val="24"/>
              </w:rPr>
              <w:t>以上技术参数带“★”标识项为关键性技术要求，必须完全响应，并提供公安部安全防范报警系统产品质量监督检验测试中心检验报告复印件加盖</w:t>
            </w:r>
            <w:r>
              <w:rPr>
                <w:rFonts w:hint="eastAsia" w:ascii="宋体" w:hAnsi="宋体" w:cs="宋体"/>
                <w:b w:val="0"/>
                <w:bCs/>
                <w:color w:val="auto"/>
                <w:sz w:val="24"/>
                <w:szCs w:val="24"/>
                <w:lang w:val="en-US" w:eastAsia="zh-CN"/>
              </w:rPr>
              <w:t>制造商</w:t>
            </w:r>
            <w:r>
              <w:rPr>
                <w:rFonts w:hint="eastAsia" w:ascii="宋体" w:hAnsi="宋体" w:eastAsia="宋体" w:cs="宋体"/>
                <w:b w:val="0"/>
                <w:bCs/>
                <w:color w:val="auto"/>
                <w:sz w:val="24"/>
                <w:szCs w:val="24"/>
              </w:rPr>
              <w:t>公章，并核对相应参数符合性，审核不符合按投标人废标处理。</w:t>
            </w:r>
          </w:p>
        </w:tc>
      </w:tr>
    </w:tbl>
    <w:p w14:paraId="561757E8">
      <w:pPr>
        <w:rPr>
          <w:rFonts w:hint="eastAsia" w:ascii="宋体" w:hAnsi="宋体" w:eastAsia="宋体" w:cs="宋体"/>
          <w:b/>
          <w:sz w:val="24"/>
          <w:szCs w:val="24"/>
        </w:rPr>
      </w:pPr>
    </w:p>
    <w:p w14:paraId="2AB9EF6E">
      <w:pPr>
        <w:rPr>
          <w:rFonts w:hint="eastAsia" w:ascii="宋体" w:hAnsi="宋体" w:eastAsia="宋体" w:cs="宋体"/>
          <w:b/>
          <w:sz w:val="24"/>
          <w:szCs w:val="24"/>
        </w:rPr>
      </w:pPr>
    </w:p>
    <w:p w14:paraId="2C42B967">
      <w:pPr>
        <w:pStyle w:val="2"/>
        <w:rPr>
          <w:rFonts w:hint="eastAsia" w:ascii="宋体" w:hAnsi="宋体" w:eastAsia="宋体" w:cs="宋体"/>
          <w:sz w:val="24"/>
          <w:szCs w:val="24"/>
        </w:rPr>
      </w:pPr>
    </w:p>
    <w:p w14:paraId="5BA0DFD6">
      <w:pPr>
        <w:rPr>
          <w:rFonts w:hint="eastAsia" w:ascii="宋体" w:hAnsi="宋体" w:eastAsia="宋体" w:cs="宋体"/>
          <w:b/>
          <w:szCs w:val="21"/>
        </w:rPr>
      </w:pPr>
    </w:p>
    <w:sectPr>
      <w:headerReference r:id="rId3" w:type="default"/>
      <w:pgSz w:w="11906" w:h="16838"/>
      <w:pgMar w:top="1440" w:right="1800" w:bottom="1440" w:left="1800" w:header="851" w:footer="992" w:gutter="0"/>
      <w:pgBorders>
        <w:top w:val="none" w:sz="0" w:space="0"/>
        <w:left w:val="none" w:sz="0" w:space="0"/>
        <w:bottom w:val="none" w:sz="0" w:space="0"/>
        <w:right w:val="none" w:sz="0" w:space="0"/>
      </w:pgBorders>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69726">
    <w:pPr>
      <w:pStyle w:val="5"/>
      <w:pBdr>
        <w:bottom w:val="threeDEngrave" w:color="auto" w:sz="18"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0MGY0NDhjNmM0MmYzNmRmMmY5MWY5NjViZTdhMjkifQ=="/>
  </w:docVars>
  <w:rsids>
    <w:rsidRoot w:val="004F6B52"/>
    <w:rsid w:val="0003697C"/>
    <w:rsid w:val="00055D4B"/>
    <w:rsid w:val="000A5DAC"/>
    <w:rsid w:val="000E4008"/>
    <w:rsid w:val="000E7226"/>
    <w:rsid w:val="001445B7"/>
    <w:rsid w:val="001B4EBC"/>
    <w:rsid w:val="001D17D2"/>
    <w:rsid w:val="001D6835"/>
    <w:rsid w:val="002019BD"/>
    <w:rsid w:val="00225764"/>
    <w:rsid w:val="0028344C"/>
    <w:rsid w:val="00311159"/>
    <w:rsid w:val="00365CB8"/>
    <w:rsid w:val="00374DC7"/>
    <w:rsid w:val="003D1DD0"/>
    <w:rsid w:val="003E4EA0"/>
    <w:rsid w:val="003F111B"/>
    <w:rsid w:val="00400A76"/>
    <w:rsid w:val="004B2A56"/>
    <w:rsid w:val="004F41A9"/>
    <w:rsid w:val="004F6B52"/>
    <w:rsid w:val="00523610"/>
    <w:rsid w:val="00582E9E"/>
    <w:rsid w:val="0061581C"/>
    <w:rsid w:val="00624C31"/>
    <w:rsid w:val="00676FE3"/>
    <w:rsid w:val="0069567E"/>
    <w:rsid w:val="006A56D6"/>
    <w:rsid w:val="006B66DE"/>
    <w:rsid w:val="006D609A"/>
    <w:rsid w:val="006E50F3"/>
    <w:rsid w:val="0071642C"/>
    <w:rsid w:val="0075733E"/>
    <w:rsid w:val="00785727"/>
    <w:rsid w:val="007A45D4"/>
    <w:rsid w:val="0082053D"/>
    <w:rsid w:val="00831F41"/>
    <w:rsid w:val="0083460A"/>
    <w:rsid w:val="008433BD"/>
    <w:rsid w:val="00845A62"/>
    <w:rsid w:val="00846BEF"/>
    <w:rsid w:val="00950BD1"/>
    <w:rsid w:val="00967AE6"/>
    <w:rsid w:val="009968DA"/>
    <w:rsid w:val="009C066C"/>
    <w:rsid w:val="00A060D8"/>
    <w:rsid w:val="00A35828"/>
    <w:rsid w:val="00A67764"/>
    <w:rsid w:val="00A824AA"/>
    <w:rsid w:val="00A9561D"/>
    <w:rsid w:val="00AC01FF"/>
    <w:rsid w:val="00AC249C"/>
    <w:rsid w:val="00AE1DC0"/>
    <w:rsid w:val="00AE7127"/>
    <w:rsid w:val="00AF2355"/>
    <w:rsid w:val="00BE6846"/>
    <w:rsid w:val="00C16321"/>
    <w:rsid w:val="00C441EB"/>
    <w:rsid w:val="00C750DB"/>
    <w:rsid w:val="00C86435"/>
    <w:rsid w:val="00C932B0"/>
    <w:rsid w:val="00CF56B9"/>
    <w:rsid w:val="00D15BD7"/>
    <w:rsid w:val="00D2433E"/>
    <w:rsid w:val="00E31E23"/>
    <w:rsid w:val="00E65B49"/>
    <w:rsid w:val="00F64DCB"/>
    <w:rsid w:val="00F65932"/>
    <w:rsid w:val="00F84104"/>
    <w:rsid w:val="00F95CE3"/>
    <w:rsid w:val="00FA44C9"/>
    <w:rsid w:val="00FB029E"/>
    <w:rsid w:val="00FB6B9B"/>
    <w:rsid w:val="00FB6C28"/>
    <w:rsid w:val="00FD0CD1"/>
    <w:rsid w:val="00FE3A53"/>
    <w:rsid w:val="00FE52E0"/>
    <w:rsid w:val="011B196D"/>
    <w:rsid w:val="038D74AE"/>
    <w:rsid w:val="047C5E2A"/>
    <w:rsid w:val="07AB1712"/>
    <w:rsid w:val="09D07191"/>
    <w:rsid w:val="12EA1FC9"/>
    <w:rsid w:val="15722F6E"/>
    <w:rsid w:val="176136A1"/>
    <w:rsid w:val="23BB291B"/>
    <w:rsid w:val="24AB260B"/>
    <w:rsid w:val="25E768DC"/>
    <w:rsid w:val="2D4B473E"/>
    <w:rsid w:val="30C5681A"/>
    <w:rsid w:val="31212F60"/>
    <w:rsid w:val="345724A1"/>
    <w:rsid w:val="346B44F8"/>
    <w:rsid w:val="35350CFE"/>
    <w:rsid w:val="3C3C421E"/>
    <w:rsid w:val="3DC811F2"/>
    <w:rsid w:val="3E521FF7"/>
    <w:rsid w:val="3F014FA2"/>
    <w:rsid w:val="4027146E"/>
    <w:rsid w:val="40EB00C3"/>
    <w:rsid w:val="4102492D"/>
    <w:rsid w:val="427C5F13"/>
    <w:rsid w:val="47AD1E27"/>
    <w:rsid w:val="4D8C20FE"/>
    <w:rsid w:val="4DA4769E"/>
    <w:rsid w:val="515A6F2E"/>
    <w:rsid w:val="58B75A69"/>
    <w:rsid w:val="593D22A0"/>
    <w:rsid w:val="5C3A5D9F"/>
    <w:rsid w:val="5C780DA8"/>
    <w:rsid w:val="5D7174E1"/>
    <w:rsid w:val="60643AB9"/>
    <w:rsid w:val="63BC1066"/>
    <w:rsid w:val="69593048"/>
    <w:rsid w:val="69FE3CED"/>
    <w:rsid w:val="6A0D0FB7"/>
    <w:rsid w:val="6BE83CCD"/>
    <w:rsid w:val="6C662C1B"/>
    <w:rsid w:val="6D991289"/>
    <w:rsid w:val="6E60165B"/>
    <w:rsid w:val="74CA3BCE"/>
    <w:rsid w:val="799326D6"/>
    <w:rsid w:val="7D12649C"/>
    <w:rsid w:val="7E533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toc 1"/>
    <w:basedOn w:val="1"/>
    <w:next w:val="1"/>
    <w:unhideWhenUsed/>
    <w:qFormat/>
    <w:uiPriority w:val="39"/>
  </w:style>
  <w:style w:type="paragraph" w:styleId="3">
    <w:name w:val="Document Map"/>
    <w:basedOn w:val="1"/>
    <w:link w:val="11"/>
    <w:unhideWhenUsed/>
    <w:qFormat/>
    <w:uiPriority w:val="99"/>
    <w:rPr>
      <w:rFonts w:ascii="宋体"/>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3"/>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color w:val="000000"/>
      <w:kern w:val="0"/>
      <w:sz w:val="24"/>
    </w:rPr>
  </w:style>
  <w:style w:type="table" w:styleId="8">
    <w:name w:val="Table Grid"/>
    <w:basedOn w:val="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文档结构图 Char"/>
    <w:basedOn w:val="9"/>
    <w:link w:val="3"/>
    <w:semiHidden/>
    <w:qFormat/>
    <w:uiPriority w:val="99"/>
    <w:rPr>
      <w:rFonts w:ascii="宋体" w:hAnsi="Times New Roman"/>
      <w:kern w:val="2"/>
      <w:sz w:val="18"/>
      <w:szCs w:val="18"/>
    </w:rPr>
  </w:style>
  <w:style w:type="character" w:customStyle="1" w:styleId="12">
    <w:name w:val="页脚 Char"/>
    <w:basedOn w:val="9"/>
    <w:link w:val="4"/>
    <w:semiHidden/>
    <w:qFormat/>
    <w:uiPriority w:val="99"/>
    <w:rPr>
      <w:rFonts w:ascii="Times New Roman" w:hAnsi="Times New Roman" w:eastAsia="宋体" w:cs="Times New Roman"/>
      <w:sz w:val="18"/>
      <w:szCs w:val="18"/>
    </w:rPr>
  </w:style>
  <w:style w:type="character" w:customStyle="1" w:styleId="13">
    <w:name w:val="页眉 Char"/>
    <w:basedOn w:val="9"/>
    <w:link w:val="5"/>
    <w:semiHidden/>
    <w:qFormat/>
    <w:uiPriority w:val="99"/>
    <w:rPr>
      <w:rFonts w:ascii="Times New Roman" w:hAnsi="Times New Roman" w:eastAsia="宋体" w:cs="Times New Roman"/>
      <w:sz w:val="18"/>
      <w:szCs w:val="18"/>
    </w:rPr>
  </w:style>
  <w:style w:type="paragraph" w:customStyle="1" w:styleId="14">
    <w:name w:val="列出段落1"/>
    <w:basedOn w:val="1"/>
    <w:qFormat/>
    <w:uiPriority w:val="34"/>
    <w:pPr>
      <w:spacing w:line="276" w:lineRule="auto"/>
      <w:ind w:firstLine="420" w:firstLineChars="200"/>
    </w:pPr>
  </w:style>
  <w:style w:type="character" w:customStyle="1" w:styleId="15">
    <w:name w:val="font01"/>
    <w:basedOn w:val="9"/>
    <w:qFormat/>
    <w:uiPriority w:val="0"/>
    <w:rPr>
      <w:rFonts w:ascii="Calibri" w:hAnsi="Calibri" w:cs="Calibri"/>
      <w:color w:val="000000"/>
      <w:sz w:val="21"/>
      <w:szCs w:val="21"/>
      <w:u w:val="none"/>
    </w:rPr>
  </w:style>
  <w:style w:type="character" w:customStyle="1" w:styleId="16">
    <w:name w:val="font11"/>
    <w:basedOn w:val="9"/>
    <w:qFormat/>
    <w:uiPriority w:val="0"/>
    <w:rPr>
      <w:rFonts w:hint="eastAsia" w:ascii="宋体" w:hAnsi="宋体" w:eastAsia="宋体" w:cs="宋体"/>
      <w:color w:val="000000"/>
      <w:sz w:val="21"/>
      <w:szCs w:val="21"/>
      <w:u w:val="none"/>
    </w:rPr>
  </w:style>
  <w:style w:type="paragraph" w:customStyle="1" w:styleId="17">
    <w:name w:val="表格1"/>
    <w:basedOn w:val="1"/>
    <w:qFormat/>
    <w:uiPriority w:val="0"/>
    <w:pPr>
      <w:tabs>
        <w:tab w:val="left" w:pos="3105"/>
      </w:tabs>
      <w:spacing w:line="240" w:lineRule="exact"/>
      <w:jc w:val="center"/>
      <w:textAlignment w:val="auto"/>
    </w:pPr>
    <w:rPr>
      <w:rFonts w:ascii="宋体" w:hAnsi="宋体"/>
      <w:kern w:val="2"/>
      <w:sz w:val="18"/>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99A08E-17BA-460D-8EE6-9BEF260C94AB}">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2</Pages>
  <Words>1018</Words>
  <Characters>1210</Characters>
  <Lines>15</Lines>
  <Paragraphs>4</Paragraphs>
  <TotalTime>1</TotalTime>
  <ScaleCrop>false</ScaleCrop>
  <LinksUpToDate>false</LinksUpToDate>
  <CharactersWithSpaces>1216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2017-03-18T04:56:00Z</dcterms:created>
  <dc:creator>User</dc:creator>
  <cp:lastModifiedBy>深蓝</cp:lastModifiedBy>
  <dcterms:modified xsi:type="dcterms:W3CDTF">2025-10-09T01:39:00Z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A26CABB008134E559D8D2AACD4DA4F8D_13</vt:lpwstr>
  </property>
  <property fmtid="{D5CDD505-2E9C-101B-9397-08002B2CF9AE}" pid="4" name="KSOTemplateDocerSaveRecord">
    <vt:lpwstr>eyJoZGlkIjoiYmYwZWM2ZDE2NmMwZjM1NWNlYTI2OGVhNWJkYjk2MTIiLCJ1c2VySWQiOiI0Mzk0ODA0NTgifQ==</vt:lpwstr>
  </property>
</Properties>
</file>